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B2" w:rsidRPr="005A7AF4" w:rsidRDefault="00435AB2" w:rsidP="00BA1C52">
      <w:pPr>
        <w:pStyle w:val="Heading1"/>
        <w:spacing w:before="0" w:after="0"/>
        <w:jc w:val="both"/>
        <w:rPr>
          <w:rFonts w:asciiTheme="minorHAnsi" w:hAnsiTheme="minorHAnsi" w:cstheme="minorHAnsi"/>
          <w:b w:val="0"/>
          <w:sz w:val="22"/>
          <w:szCs w:val="22"/>
          <w:lang w:val="sr-Latn-CS"/>
        </w:rPr>
      </w:pPr>
      <w:r>
        <w:rPr>
          <w:rFonts w:cs="Calibri"/>
        </w:rPr>
        <w:t xml:space="preserve">                                    </w:t>
      </w:r>
    </w:p>
    <w:p w:rsidR="00435AB2" w:rsidRPr="005A7AF4" w:rsidRDefault="00716952" w:rsidP="00773AE0">
      <w:pPr>
        <w:pStyle w:val="Heading1"/>
        <w:spacing w:before="0" w:after="0"/>
        <w:jc w:val="center"/>
        <w:rPr>
          <w:b w:val="0"/>
          <w:sz w:val="28"/>
          <w:szCs w:val="28"/>
          <w:lang w:val="sr-Latn-CS"/>
        </w:rPr>
      </w:pPr>
      <w:r w:rsidRPr="00716952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AB2" w:rsidRPr="000E7094" w:rsidRDefault="00435AB2" w:rsidP="00BA1C52">
      <w:pPr>
        <w:spacing w:after="0"/>
        <w:jc w:val="both"/>
        <w:rPr>
          <w:rFonts w:cs="Calibri"/>
        </w:rPr>
      </w:pPr>
    </w:p>
    <w:p w:rsidR="00435AB2" w:rsidRPr="000E7094" w:rsidRDefault="00435AB2" w:rsidP="00BA1C52">
      <w:pPr>
        <w:spacing w:after="0"/>
        <w:jc w:val="both"/>
        <w:rPr>
          <w:rFonts w:cs="Calibri"/>
        </w:rPr>
      </w:pPr>
    </w:p>
    <w:p w:rsidR="00435AB2" w:rsidRPr="000E7094" w:rsidRDefault="00435AB2" w:rsidP="00BA1C52">
      <w:pPr>
        <w:spacing w:after="0"/>
        <w:jc w:val="both"/>
        <w:rPr>
          <w:rFonts w:cs="Calibri"/>
        </w:rPr>
      </w:pPr>
    </w:p>
    <w:p w:rsidR="00435AB2" w:rsidRPr="000E7094" w:rsidRDefault="00435AB2" w:rsidP="00BA1C52">
      <w:pPr>
        <w:spacing w:after="0"/>
        <w:jc w:val="both"/>
        <w:rPr>
          <w:rFonts w:cs="Calibri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center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K O N C E S I O N I   A K T</w:t>
      </w:r>
    </w:p>
    <w:p w:rsidR="00435AB2" w:rsidRPr="00BA1C52" w:rsidRDefault="00435AB2" w:rsidP="00BA1C52">
      <w:pPr>
        <w:spacing w:after="0"/>
        <w:jc w:val="center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o</w:t>
      </w:r>
      <w:proofErr w:type="gramEnd"/>
      <w:r w:rsidRPr="00BA1C52">
        <w:rPr>
          <w:rFonts w:ascii="Arial" w:hAnsi="Arial" w:cs="Arial"/>
          <w:b/>
        </w:rPr>
        <w:t xml:space="preserve"> pojavi mineralne sirovine tehničko-građevinskog kamena (vulkaniti) “BISTRICA”, opština Berane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                                                         Podgorica, </w:t>
      </w:r>
      <w:proofErr w:type="gramStart"/>
      <w:r w:rsidRPr="00BA1C52">
        <w:rPr>
          <w:rFonts w:ascii="Arial" w:hAnsi="Arial" w:cs="Arial"/>
          <w:b/>
        </w:rPr>
        <w:t>oktobar  2016</w:t>
      </w:r>
      <w:proofErr w:type="gramEnd"/>
      <w:r w:rsidRPr="00BA1C52">
        <w:rPr>
          <w:rFonts w:ascii="Arial" w:hAnsi="Arial" w:cs="Arial"/>
          <w:b/>
        </w:rPr>
        <w:t xml:space="preserve">. </w:t>
      </w:r>
      <w:proofErr w:type="gramStart"/>
      <w:r w:rsidRPr="00BA1C52">
        <w:rPr>
          <w:rFonts w:ascii="Arial" w:hAnsi="Arial" w:cs="Arial"/>
          <w:b/>
        </w:rPr>
        <w:t>godine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b w:val="0"/>
          <w:sz w:val="22"/>
          <w:szCs w:val="22"/>
        </w:rPr>
      </w:pPr>
      <w:r w:rsidRPr="00BA1C52">
        <w:rPr>
          <w:b w:val="0"/>
        </w:rPr>
        <w:t xml:space="preserve">                                                                            </w:t>
      </w:r>
    </w:p>
    <w:p w:rsidR="00435AB2" w:rsidRPr="00BA1C52" w:rsidRDefault="00435AB2" w:rsidP="00BA1C52">
      <w:pPr>
        <w:pStyle w:val="Heading1"/>
        <w:spacing w:before="0" w:after="0"/>
        <w:jc w:val="both"/>
        <w:rPr>
          <w:b w:val="0"/>
          <w:sz w:val="22"/>
          <w:szCs w:val="22"/>
        </w:rPr>
      </w:pPr>
      <w:r w:rsidRPr="00BA1C52">
        <w:rPr>
          <w:b w:val="0"/>
          <w:sz w:val="22"/>
          <w:szCs w:val="22"/>
        </w:rPr>
        <w:t xml:space="preserve">                                                                       </w:t>
      </w: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716952" w:rsidRPr="00BA1C52" w:rsidRDefault="00716952" w:rsidP="00773AE0">
      <w:pPr>
        <w:spacing w:after="0"/>
        <w:jc w:val="center"/>
        <w:rPr>
          <w:rFonts w:ascii="Arial" w:hAnsi="Arial" w:cs="Arial"/>
          <w:i/>
        </w:rPr>
      </w:pPr>
      <w:r w:rsidRPr="00BA1C52">
        <w:rPr>
          <w:rFonts w:ascii="Arial" w:hAnsi="Arial" w:cs="Arial"/>
          <w:i/>
          <w:noProof/>
        </w:rPr>
        <w:lastRenderedPageBreak/>
        <w:drawing>
          <wp:inline distT="0" distB="0" distL="0" distR="0">
            <wp:extent cx="2401570" cy="17811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i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i/>
        </w:rPr>
      </w:pPr>
      <w:r w:rsidRPr="00BA1C52">
        <w:rPr>
          <w:rFonts w:ascii="Arial" w:hAnsi="Arial" w:cs="Arial"/>
          <w:i/>
        </w:rPr>
        <w:t xml:space="preserve">                                        </w:t>
      </w:r>
    </w:p>
    <w:p w:rsidR="00435AB2" w:rsidRPr="00BA1C52" w:rsidRDefault="00611DB4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Broj: 01-217</w:t>
      </w:r>
      <w:r w:rsidR="00435AB2" w:rsidRPr="00BA1C52">
        <w:rPr>
          <w:rFonts w:ascii="Arial" w:hAnsi="Arial" w:cs="Arial"/>
        </w:rPr>
        <w:t>/</w:t>
      </w:r>
      <w:r w:rsidRPr="00BA1C52">
        <w:rPr>
          <w:rFonts w:ascii="Arial" w:hAnsi="Arial" w:cs="Arial"/>
        </w:rPr>
        <w:t>24-2016</w:t>
      </w:r>
    </w:p>
    <w:p w:rsidR="00435AB2" w:rsidRPr="00BA1C52" w:rsidRDefault="00611DB4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Podgorica, 28.12.</w:t>
      </w:r>
      <w:r w:rsidR="00435AB2" w:rsidRPr="00BA1C52">
        <w:rPr>
          <w:rFonts w:ascii="Arial" w:hAnsi="Arial" w:cs="Arial"/>
        </w:rPr>
        <w:t>2016.</w:t>
      </w:r>
      <w:proofErr w:type="gramEnd"/>
      <w:r w:rsidR="00435AB2" w:rsidRPr="00BA1C52">
        <w:rPr>
          <w:rFonts w:ascii="Arial" w:hAnsi="Arial" w:cs="Arial"/>
        </w:rPr>
        <w:t xml:space="preserve"> </w:t>
      </w:r>
      <w:proofErr w:type="gramStart"/>
      <w:r w:rsidR="00435AB2" w:rsidRPr="00BA1C52">
        <w:rPr>
          <w:rFonts w:ascii="Arial" w:hAnsi="Arial" w:cs="Arial"/>
        </w:rPr>
        <w:t>godine</w:t>
      </w:r>
      <w:proofErr w:type="gramEnd"/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center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center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K O N C E S I O N I   A K T</w:t>
      </w:r>
    </w:p>
    <w:p w:rsidR="00435AB2" w:rsidRPr="00BA1C52" w:rsidRDefault="00435AB2" w:rsidP="00BA1C52">
      <w:pPr>
        <w:spacing w:after="0"/>
        <w:jc w:val="center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o</w:t>
      </w:r>
      <w:proofErr w:type="gramEnd"/>
      <w:r w:rsidRPr="00BA1C52">
        <w:rPr>
          <w:rFonts w:ascii="Arial" w:hAnsi="Arial" w:cs="Arial"/>
          <w:b/>
        </w:rPr>
        <w:t xml:space="preserve"> pojavi mineralne sirovine tehničko-građevinskog kamena (vulkaniti) “Bistrica”, opština Berane</w:t>
      </w:r>
    </w:p>
    <w:p w:rsidR="00611DB4" w:rsidRPr="00BA1C52" w:rsidRDefault="00611DB4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                                                                                                                    </w:t>
      </w:r>
      <w:r w:rsidR="00BA1C52">
        <w:rPr>
          <w:rFonts w:ascii="Arial" w:hAnsi="Arial" w:cs="Arial"/>
          <w:b/>
        </w:rPr>
        <w:t xml:space="preserve">                  </w:t>
      </w:r>
      <w:r w:rsidRPr="00BA1C52">
        <w:rPr>
          <w:rFonts w:ascii="Arial" w:hAnsi="Arial" w:cs="Arial"/>
          <w:b/>
        </w:rPr>
        <w:t xml:space="preserve">M I N I S T A R </w:t>
      </w:r>
      <w:r w:rsidR="00C01C89" w:rsidRPr="00BA1C52">
        <w:rPr>
          <w:rFonts w:ascii="Arial" w:hAnsi="Arial" w:cs="Arial"/>
          <w:b/>
        </w:rPr>
        <w:t>K 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 xml:space="preserve">                                          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                                                                                                                                    </w:t>
      </w:r>
      <w:r w:rsidR="00BA1C52" w:rsidRPr="00BA1C52">
        <w:rPr>
          <w:rFonts w:ascii="Arial" w:hAnsi="Arial" w:cs="Arial"/>
        </w:rPr>
        <w:t xml:space="preserve">    </w:t>
      </w:r>
      <w:r w:rsidR="00C01C89" w:rsidRPr="00BA1C52">
        <w:rPr>
          <w:rFonts w:ascii="Arial" w:hAnsi="Arial" w:cs="Arial"/>
        </w:rPr>
        <w:t>Dragica Sekulić</w:t>
      </w:r>
      <w:r w:rsidRPr="00BA1C52">
        <w:rPr>
          <w:rFonts w:ascii="Arial" w:hAnsi="Arial" w:cs="Arial"/>
        </w:rPr>
        <w:t xml:space="preserve">  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     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                                          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color w:val="FF0000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Autori Koncesionog akta: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       1. Vesna Vujačić, dipl.inž.geologije, predsjednik,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       2. Nebojša Koprivica, dipl.inž.geologije, član,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       3. </w:t>
      </w:r>
      <w:proofErr w:type="gramStart"/>
      <w:r w:rsidR="00CB18B9" w:rsidRPr="00BA1C52">
        <w:rPr>
          <w:rFonts w:ascii="Arial" w:hAnsi="Arial" w:cs="Arial"/>
        </w:rPr>
        <w:t>dr</w:t>
      </w:r>
      <w:proofErr w:type="gramEnd"/>
      <w:r w:rsidR="00832EAF"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</w:rPr>
        <w:t>Darko Božović, dipl.inž.geologije, član i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      </w:t>
      </w:r>
      <w:r w:rsidR="00916CF8"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</w:rPr>
        <w:t>4. Radosav Čović, dipl.pravnik.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716952" w:rsidRPr="00BA1C52" w:rsidRDefault="0071695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                               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lastRenderedPageBreak/>
        <w:t>OPŠTI PODACI O KONCESIONOM AKTU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Naziv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Koncesioni akt o pojavi mineralne sirovine tehničko-građevinskog kamena </w:t>
      </w:r>
      <w:r w:rsidR="00131F3A" w:rsidRPr="00773AE0">
        <w:rPr>
          <w:rFonts w:ascii="Arial" w:hAnsi="Arial" w:cs="Arial"/>
        </w:rPr>
        <w:t>(vulkaniti) “Bistrica</w:t>
      </w:r>
      <w:r w:rsidRPr="00773AE0">
        <w:rPr>
          <w:rFonts w:ascii="Arial" w:hAnsi="Arial" w:cs="Arial"/>
        </w:rPr>
        <w:t>”, o</w:t>
      </w:r>
      <w:r w:rsidR="00131F3A" w:rsidRPr="00773AE0">
        <w:rPr>
          <w:rFonts w:ascii="Arial" w:hAnsi="Arial" w:cs="Arial"/>
        </w:rPr>
        <w:t>pština Berane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Naručilac izrade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Izrada Koncesionog akta izvrš</w:t>
      </w:r>
      <w:r w:rsidR="00131F3A" w:rsidRPr="00773AE0">
        <w:rPr>
          <w:rFonts w:ascii="Arial" w:hAnsi="Arial" w:cs="Arial"/>
        </w:rPr>
        <w:t xml:space="preserve">ena je </w:t>
      </w:r>
      <w:proofErr w:type="gramStart"/>
      <w:r w:rsidR="00131F3A" w:rsidRPr="00773AE0">
        <w:rPr>
          <w:rFonts w:ascii="Arial" w:hAnsi="Arial" w:cs="Arial"/>
        </w:rPr>
        <w:t>na</w:t>
      </w:r>
      <w:proofErr w:type="gramEnd"/>
      <w:r w:rsidR="00131F3A" w:rsidRPr="00773AE0">
        <w:rPr>
          <w:rFonts w:ascii="Arial" w:hAnsi="Arial" w:cs="Arial"/>
        </w:rPr>
        <w:t xml:space="preserve"> osnovu inicijative </w:t>
      </w:r>
      <w:r w:rsidRPr="00773AE0">
        <w:rPr>
          <w:rFonts w:ascii="Arial" w:hAnsi="Arial" w:cs="Arial"/>
        </w:rPr>
        <w:t>D</w:t>
      </w:r>
      <w:r w:rsidR="00131F3A" w:rsidRPr="00773AE0">
        <w:rPr>
          <w:rFonts w:ascii="Arial" w:hAnsi="Arial" w:cs="Arial"/>
        </w:rPr>
        <w:t>OO “Građevinarstvo i savjetovanje</w:t>
      </w:r>
      <w:r w:rsidRPr="00773AE0">
        <w:rPr>
          <w:rFonts w:ascii="Arial" w:hAnsi="Arial" w:cs="Arial"/>
        </w:rPr>
        <w:t xml:space="preserve">” </w:t>
      </w:r>
      <w:r w:rsidR="00131F3A" w:rsidRPr="00773AE0">
        <w:rPr>
          <w:rFonts w:ascii="Arial" w:hAnsi="Arial" w:cs="Arial"/>
        </w:rPr>
        <w:t>GIS – Podgorica</w:t>
      </w:r>
      <w:r w:rsidRPr="00773AE0">
        <w:rPr>
          <w:rFonts w:ascii="Arial" w:hAnsi="Arial" w:cs="Arial"/>
        </w:rPr>
        <w:t>, zavedene u arhivi Ministars</w:t>
      </w:r>
      <w:r w:rsidR="00131F3A" w:rsidRPr="00773AE0">
        <w:rPr>
          <w:rFonts w:ascii="Arial" w:hAnsi="Arial" w:cs="Arial"/>
        </w:rPr>
        <w:t>tva ekonomije pod brojem: 07–2251/1 od 09.10</w:t>
      </w:r>
      <w:r w:rsidRPr="00773AE0">
        <w:rPr>
          <w:rFonts w:ascii="Arial" w:hAnsi="Arial" w:cs="Arial"/>
        </w:rPr>
        <w:t xml:space="preserve">.2015. </w:t>
      </w:r>
      <w:proofErr w:type="gramStart"/>
      <w:r w:rsidRPr="00773AE0">
        <w:rPr>
          <w:rFonts w:ascii="Arial" w:hAnsi="Arial" w:cs="Arial"/>
        </w:rPr>
        <w:t>godine</w:t>
      </w:r>
      <w:proofErr w:type="gramEnd"/>
      <w:r w:rsidRPr="00773AE0">
        <w:rPr>
          <w:rFonts w:ascii="Arial" w:hAnsi="Arial" w:cs="Arial"/>
        </w:rPr>
        <w:t>.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Izrada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Koncesioni akt je uradilo Ministarstvo ekonomije preko Radne grupe za izradu Koncesionog akta za dodjelu koncesije za detaljna geološka istraživanja i eksploataciju </w:t>
      </w:r>
      <w:proofErr w:type="gramStart"/>
      <w:r w:rsidRPr="00773AE0">
        <w:rPr>
          <w:rFonts w:ascii="Arial" w:hAnsi="Arial" w:cs="Arial"/>
        </w:rPr>
        <w:t>pojave  mineralne</w:t>
      </w:r>
      <w:proofErr w:type="gramEnd"/>
      <w:r w:rsidRPr="00773AE0">
        <w:rPr>
          <w:rFonts w:ascii="Arial" w:hAnsi="Arial" w:cs="Arial"/>
        </w:rPr>
        <w:t xml:space="preserve"> sirovine tehničko-građevinskog kamena</w:t>
      </w:r>
      <w:r w:rsidR="00131F3A" w:rsidRPr="00773AE0">
        <w:rPr>
          <w:rFonts w:ascii="Arial" w:hAnsi="Arial" w:cs="Arial"/>
        </w:rPr>
        <w:t xml:space="preserve"> (vulkaniti) „Bistrica</w:t>
      </w:r>
      <w:r w:rsidRPr="00773AE0">
        <w:rPr>
          <w:rFonts w:ascii="Arial" w:hAnsi="Arial" w:cs="Arial"/>
        </w:rPr>
        <w:t>“, o</w:t>
      </w:r>
      <w:r w:rsidR="00131F3A" w:rsidRPr="00773AE0">
        <w:rPr>
          <w:rFonts w:ascii="Arial" w:hAnsi="Arial" w:cs="Arial"/>
        </w:rPr>
        <w:t>pština Berane</w:t>
      </w:r>
      <w:r w:rsidRPr="00773AE0">
        <w:rPr>
          <w:rFonts w:ascii="Arial" w:hAnsi="Arial" w:cs="Arial"/>
        </w:rPr>
        <w:t>, koju je formiral</w:t>
      </w:r>
      <w:r w:rsidR="00131F3A" w:rsidRPr="00773AE0">
        <w:rPr>
          <w:rFonts w:ascii="Arial" w:hAnsi="Arial" w:cs="Arial"/>
        </w:rPr>
        <w:t>o Rješenjem, broj: 01-217</w:t>
      </w:r>
      <w:r w:rsidRPr="00773AE0">
        <w:rPr>
          <w:rFonts w:ascii="Arial" w:hAnsi="Arial" w:cs="Arial"/>
        </w:rPr>
        <w:t>/1</w:t>
      </w:r>
      <w:r w:rsidR="00131F3A" w:rsidRPr="00773AE0">
        <w:rPr>
          <w:rFonts w:ascii="Arial" w:hAnsi="Arial" w:cs="Arial"/>
        </w:rPr>
        <w:t>7 od 20.05</w:t>
      </w:r>
      <w:r w:rsidRPr="00773AE0">
        <w:rPr>
          <w:rFonts w:ascii="Arial" w:hAnsi="Arial" w:cs="Arial"/>
        </w:rPr>
        <w:t xml:space="preserve">.2016. </w:t>
      </w:r>
      <w:proofErr w:type="gramStart"/>
      <w:r w:rsidRPr="00773AE0">
        <w:rPr>
          <w:rFonts w:ascii="Arial" w:hAnsi="Arial" w:cs="Arial"/>
        </w:rPr>
        <w:t>godine</w:t>
      </w:r>
      <w:proofErr w:type="gramEnd"/>
      <w:r w:rsidRPr="00773AE0">
        <w:rPr>
          <w:rFonts w:ascii="Arial" w:hAnsi="Arial" w:cs="Arial"/>
        </w:rPr>
        <w:t>.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Autori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        1. Vesna Vujačić, dipl.inž.geologije, predsjednik,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        2. Nebojša Koprivica, dipl.inž.geologije, član,</w:t>
      </w:r>
    </w:p>
    <w:p w:rsidR="00435AB2" w:rsidRPr="00773AE0" w:rsidRDefault="00131F3A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        3. </w:t>
      </w:r>
      <w:proofErr w:type="gramStart"/>
      <w:r w:rsidR="00CB18B9" w:rsidRPr="00773AE0">
        <w:rPr>
          <w:rFonts w:ascii="Arial" w:hAnsi="Arial" w:cs="Arial"/>
        </w:rPr>
        <w:t>dr</w:t>
      </w:r>
      <w:proofErr w:type="gramEnd"/>
      <w:r w:rsidR="00832EAF" w:rsidRPr="00773AE0">
        <w:rPr>
          <w:rFonts w:ascii="Arial" w:hAnsi="Arial" w:cs="Arial"/>
        </w:rPr>
        <w:t xml:space="preserve"> </w:t>
      </w:r>
      <w:r w:rsidRPr="00773AE0">
        <w:rPr>
          <w:rFonts w:ascii="Arial" w:hAnsi="Arial" w:cs="Arial"/>
        </w:rPr>
        <w:t>Darko Božović, dipl.inž.geologije</w:t>
      </w:r>
      <w:r w:rsidR="00435AB2" w:rsidRPr="00773AE0">
        <w:rPr>
          <w:rFonts w:ascii="Arial" w:hAnsi="Arial" w:cs="Arial"/>
        </w:rPr>
        <w:t>, član i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        4. Radosav Čović, dipl.pravnik.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 xml:space="preserve">Koncesioni akt je urađen u skladu </w:t>
      </w:r>
      <w:proofErr w:type="gramStart"/>
      <w:r w:rsidRPr="00773AE0">
        <w:rPr>
          <w:rFonts w:ascii="Arial" w:hAnsi="Arial" w:cs="Arial"/>
          <w:b/>
        </w:rPr>
        <w:t>sa</w:t>
      </w:r>
      <w:proofErr w:type="gramEnd"/>
      <w:r w:rsidRPr="00773AE0">
        <w:rPr>
          <w:rFonts w:ascii="Arial" w:hAnsi="Arial" w:cs="Arial"/>
          <w:b/>
        </w:rPr>
        <w:t xml:space="preserve"> čl. </w:t>
      </w:r>
      <w:proofErr w:type="gramStart"/>
      <w:r w:rsidRPr="00773AE0">
        <w:rPr>
          <w:rFonts w:ascii="Arial" w:hAnsi="Arial" w:cs="Arial"/>
          <w:b/>
        </w:rPr>
        <w:t>9, 17 i 19 Zakona o koncesijama („Sl. list CG“, br. 08/09).</w:t>
      </w:r>
      <w:proofErr w:type="gramEnd"/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Izvori podataka za izradu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-Raspoloživa geološka i rudarska dokumentacija Ministarstva ekonomije;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-Podaci Uprave za nekretnine Crne</w:t>
      </w:r>
      <w:r w:rsidR="00131F3A" w:rsidRPr="00773AE0">
        <w:rPr>
          <w:rFonts w:ascii="Arial" w:hAnsi="Arial" w:cs="Arial"/>
        </w:rPr>
        <w:t xml:space="preserve"> Gore, Područna jedinica Berane;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-Podaci iz Prostorno-ur</w:t>
      </w:r>
      <w:r w:rsidR="00131F3A" w:rsidRPr="00773AE0">
        <w:rPr>
          <w:rFonts w:ascii="Arial" w:hAnsi="Arial" w:cs="Arial"/>
        </w:rPr>
        <w:t>banističkog plana Opštine Berane</w:t>
      </w:r>
      <w:r w:rsidRPr="00773AE0">
        <w:rPr>
          <w:rFonts w:ascii="Arial" w:hAnsi="Arial" w:cs="Arial"/>
        </w:rPr>
        <w:t xml:space="preserve"> (“Sl.lis</w:t>
      </w:r>
      <w:r w:rsidR="00F47318" w:rsidRPr="00773AE0">
        <w:rPr>
          <w:rFonts w:ascii="Arial" w:hAnsi="Arial" w:cs="Arial"/>
        </w:rPr>
        <w:t>t CG” – opštinski propisi, br.35/14</w:t>
      </w:r>
      <w:r w:rsidRPr="00773AE0">
        <w:rPr>
          <w:rFonts w:ascii="Arial" w:hAnsi="Arial" w:cs="Arial"/>
        </w:rPr>
        <w:t>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-Podaci Zavoda za statis</w:t>
      </w:r>
      <w:r w:rsidR="00141C0D" w:rsidRPr="00773AE0">
        <w:rPr>
          <w:rFonts w:ascii="Arial" w:hAnsi="Arial" w:cs="Arial"/>
        </w:rPr>
        <w:t xml:space="preserve">tiku, akt br. 01-705/2, </w:t>
      </w:r>
      <w:proofErr w:type="gramStart"/>
      <w:r w:rsidR="00141C0D" w:rsidRPr="00773AE0">
        <w:rPr>
          <w:rFonts w:ascii="Arial" w:hAnsi="Arial" w:cs="Arial"/>
        </w:rPr>
        <w:t>od</w:t>
      </w:r>
      <w:proofErr w:type="gramEnd"/>
      <w:r w:rsidR="00141C0D" w:rsidRPr="00773AE0">
        <w:rPr>
          <w:rFonts w:ascii="Arial" w:hAnsi="Arial" w:cs="Arial"/>
        </w:rPr>
        <w:t xml:space="preserve"> 01.03.</w:t>
      </w:r>
      <w:r w:rsidR="001A1C3E" w:rsidRPr="00773AE0">
        <w:rPr>
          <w:rFonts w:ascii="Arial" w:hAnsi="Arial" w:cs="Arial"/>
        </w:rPr>
        <w:t>2018</w:t>
      </w:r>
      <w:r w:rsidRPr="00773AE0">
        <w:rPr>
          <w:rFonts w:ascii="Arial" w:hAnsi="Arial" w:cs="Arial"/>
        </w:rPr>
        <w:t xml:space="preserve">. </w:t>
      </w:r>
      <w:proofErr w:type="gramStart"/>
      <w:r w:rsidRPr="00773AE0">
        <w:rPr>
          <w:rFonts w:ascii="Arial" w:hAnsi="Arial" w:cs="Arial"/>
        </w:rPr>
        <w:t>godine</w:t>
      </w:r>
      <w:proofErr w:type="gramEnd"/>
      <w:r w:rsidRPr="00773AE0">
        <w:rPr>
          <w:rFonts w:ascii="Arial" w:hAnsi="Arial" w:cs="Arial"/>
        </w:rPr>
        <w:t>, o prosječno ostvarenoj cijena proizvoda mineralne sirovine tehničko-građevi</w:t>
      </w:r>
      <w:r w:rsidR="008F09E0" w:rsidRPr="00773AE0">
        <w:rPr>
          <w:rFonts w:ascii="Arial" w:hAnsi="Arial" w:cs="Arial"/>
        </w:rPr>
        <w:t>nskog kamena u Crnoj Gori u 2018</w:t>
      </w:r>
      <w:r w:rsidRPr="00773AE0">
        <w:rPr>
          <w:rFonts w:ascii="Arial" w:hAnsi="Arial" w:cs="Arial"/>
        </w:rPr>
        <w:t xml:space="preserve">. </w:t>
      </w:r>
      <w:proofErr w:type="gramStart"/>
      <w:r w:rsidRPr="00773AE0">
        <w:rPr>
          <w:rFonts w:ascii="Arial" w:hAnsi="Arial" w:cs="Arial"/>
        </w:rPr>
        <w:t>godini</w:t>
      </w:r>
      <w:proofErr w:type="gramEnd"/>
      <w:r w:rsidRPr="00773AE0">
        <w:rPr>
          <w:rFonts w:ascii="Arial" w:hAnsi="Arial" w:cs="Arial"/>
        </w:rPr>
        <w:t>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-Podaci o ostvarenoj proizvodnji tehničko-građevi</w:t>
      </w:r>
      <w:r w:rsidR="008F09E0" w:rsidRPr="00773AE0">
        <w:rPr>
          <w:rFonts w:ascii="Arial" w:hAnsi="Arial" w:cs="Arial"/>
        </w:rPr>
        <w:t>nskog kamena u Crnoj Gori u 2018</w:t>
      </w:r>
      <w:r w:rsidRPr="00773AE0">
        <w:rPr>
          <w:rFonts w:ascii="Arial" w:hAnsi="Arial" w:cs="Arial"/>
        </w:rPr>
        <w:t>.godini;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-Podaci o ostvarenim normativima osnovnih materijala i energije </w:t>
      </w:r>
      <w:proofErr w:type="gramStart"/>
      <w:r w:rsidRPr="00773AE0">
        <w:rPr>
          <w:rFonts w:ascii="Arial" w:hAnsi="Arial" w:cs="Arial"/>
        </w:rPr>
        <w:t>na</w:t>
      </w:r>
      <w:proofErr w:type="gramEnd"/>
      <w:r w:rsidRPr="00773AE0">
        <w:rPr>
          <w:rFonts w:ascii="Arial" w:hAnsi="Arial" w:cs="Arial"/>
        </w:rPr>
        <w:t xml:space="preserve"> analognim ležištima u Crnoj Gori.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Zakonski propisi korišćeni pri izradi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-Zakon o koncesijama („Sl. list CG“, br. 08/09);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-Zakon o rudarstvu („Sl. list CG“, br. 65/08, 74/10 i 40/11);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>-Zakon o geološkim istraživanjima (‘’Sl. list RCG’’, br. 28/93, 27/94, 42/94 i 26/07 i „Sl. list CG“, br. 28/11);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-Zakon o procjeni uticaja </w:t>
      </w:r>
      <w:proofErr w:type="gramStart"/>
      <w:r w:rsidRPr="00773AE0">
        <w:rPr>
          <w:rFonts w:ascii="Arial" w:hAnsi="Arial" w:cs="Arial"/>
        </w:rPr>
        <w:t>na</w:t>
      </w:r>
      <w:proofErr w:type="gramEnd"/>
      <w:r w:rsidRPr="00773AE0">
        <w:rPr>
          <w:rFonts w:ascii="Arial" w:hAnsi="Arial" w:cs="Arial"/>
        </w:rPr>
        <w:t xml:space="preserve"> životnu sredinu („Sl. list RCG“, br. 80/05 i „Sl. list CG“, br. 40/10, 73/10 i 40/11);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lastRenderedPageBreak/>
        <w:t xml:space="preserve">-Uredba o kriterijumima i načinu obračuna iznosa minimalne koncesione naknade za ustupanje prava </w:t>
      </w:r>
      <w:proofErr w:type="gramStart"/>
      <w:r w:rsidRPr="00773AE0">
        <w:rPr>
          <w:rFonts w:ascii="Arial" w:hAnsi="Arial" w:cs="Arial"/>
        </w:rPr>
        <w:t>na</w:t>
      </w:r>
      <w:proofErr w:type="gramEnd"/>
      <w:r w:rsidRPr="00773AE0">
        <w:rPr>
          <w:rFonts w:ascii="Arial" w:hAnsi="Arial" w:cs="Arial"/>
        </w:rPr>
        <w:t xml:space="preserve"> istraživanje i eksploataciju mineralnih sirovina („Sl. list CG“, br. 37/11);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-Uredba o visini sredstava za sanaciju i rekultivaciju prostora </w:t>
      </w:r>
      <w:proofErr w:type="gramStart"/>
      <w:r w:rsidRPr="00773AE0">
        <w:rPr>
          <w:rFonts w:ascii="Arial" w:hAnsi="Arial" w:cs="Arial"/>
        </w:rPr>
        <w:t>na</w:t>
      </w:r>
      <w:proofErr w:type="gramEnd"/>
      <w:r w:rsidRPr="00773AE0">
        <w:rPr>
          <w:rFonts w:ascii="Arial" w:hAnsi="Arial" w:cs="Arial"/>
        </w:rPr>
        <w:t xml:space="preserve"> kojem se izvode rudarski radovi, način obračunavanja, plaćanja i korišćenja tih sredstava („Sl. list CG“, br. 51/11).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773AE0">
        <w:rPr>
          <w:rFonts w:ascii="Arial" w:hAnsi="Arial" w:cs="Arial"/>
          <w:b/>
        </w:rPr>
        <w:t>Mjesto i vrijeme izrade Koncesionog akta:</w:t>
      </w:r>
    </w:p>
    <w:p w:rsidR="00435AB2" w:rsidRPr="00773AE0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570608" w:rsidRPr="00773AE0" w:rsidRDefault="00435AB2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</w:rPr>
        <w:t xml:space="preserve">Podgorica, </w:t>
      </w:r>
      <w:proofErr w:type="gramStart"/>
      <w:r w:rsidR="00F47318" w:rsidRPr="00773AE0">
        <w:rPr>
          <w:rFonts w:ascii="Arial" w:hAnsi="Arial" w:cs="Arial"/>
        </w:rPr>
        <w:t>oktobar</w:t>
      </w:r>
      <w:r w:rsidRPr="00773AE0">
        <w:rPr>
          <w:rFonts w:ascii="Arial" w:hAnsi="Arial" w:cs="Arial"/>
        </w:rPr>
        <w:t xml:space="preserve">  2016</w:t>
      </w:r>
      <w:proofErr w:type="gramEnd"/>
      <w:r w:rsidRPr="00773AE0">
        <w:rPr>
          <w:rFonts w:ascii="Arial" w:hAnsi="Arial" w:cs="Arial"/>
        </w:rPr>
        <w:t xml:space="preserve">. </w:t>
      </w:r>
      <w:r w:rsidR="001A1C3E" w:rsidRPr="00773AE0">
        <w:rPr>
          <w:rFonts w:ascii="Arial" w:hAnsi="Arial" w:cs="Arial"/>
        </w:rPr>
        <w:t>g</w:t>
      </w:r>
      <w:r w:rsidRPr="00773AE0">
        <w:rPr>
          <w:rFonts w:ascii="Arial" w:hAnsi="Arial" w:cs="Arial"/>
        </w:rPr>
        <w:t>odine</w:t>
      </w:r>
    </w:p>
    <w:p w:rsidR="001A1C3E" w:rsidRPr="00773AE0" w:rsidRDefault="001A1C3E" w:rsidP="00BA1C52">
      <w:pPr>
        <w:spacing w:after="0"/>
        <w:jc w:val="both"/>
        <w:rPr>
          <w:rFonts w:ascii="Arial" w:hAnsi="Arial" w:cs="Arial"/>
        </w:rPr>
      </w:pPr>
    </w:p>
    <w:p w:rsidR="00435AB2" w:rsidRPr="00773AE0" w:rsidRDefault="00141C0D" w:rsidP="00BA1C52">
      <w:pPr>
        <w:spacing w:after="0"/>
        <w:jc w:val="both"/>
        <w:rPr>
          <w:rFonts w:ascii="Arial" w:hAnsi="Arial" w:cs="Arial"/>
        </w:rPr>
      </w:pPr>
      <w:r w:rsidRPr="00773AE0">
        <w:rPr>
          <w:rFonts w:ascii="Arial" w:hAnsi="Arial" w:cs="Arial"/>
          <w:b/>
        </w:rPr>
        <w:t>Napomena:</w:t>
      </w:r>
      <w:r w:rsidRPr="00773AE0">
        <w:rPr>
          <w:rFonts w:ascii="Arial" w:hAnsi="Arial" w:cs="Arial"/>
        </w:rPr>
        <w:t xml:space="preserve">  u 2017</w:t>
      </w:r>
      <w:r w:rsidR="00570608" w:rsidRPr="00773AE0">
        <w:rPr>
          <w:rFonts w:ascii="Arial" w:hAnsi="Arial" w:cs="Arial"/>
        </w:rPr>
        <w:t xml:space="preserve">. </w:t>
      </w:r>
      <w:proofErr w:type="gramStart"/>
      <w:r w:rsidR="00570608" w:rsidRPr="00773AE0">
        <w:rPr>
          <w:rFonts w:ascii="Arial" w:hAnsi="Arial" w:cs="Arial"/>
        </w:rPr>
        <w:t>godini  dati</w:t>
      </w:r>
      <w:proofErr w:type="gramEnd"/>
      <w:r w:rsidR="00570608" w:rsidRPr="00773AE0">
        <w:rPr>
          <w:rFonts w:ascii="Arial" w:hAnsi="Arial" w:cs="Arial"/>
        </w:rPr>
        <w:t xml:space="preserve"> su novi podaci o prostorno-urbanističkoj dokumentaciji</w:t>
      </w:r>
      <w:r w:rsidRPr="00773AE0">
        <w:rPr>
          <w:rFonts w:ascii="Arial" w:hAnsi="Arial" w:cs="Arial"/>
        </w:rPr>
        <w:t xml:space="preserve"> i podaci Zavoda za statistiku </w:t>
      </w:r>
      <w:r w:rsidR="00B6402D" w:rsidRPr="00773AE0">
        <w:rPr>
          <w:rFonts w:ascii="Arial" w:hAnsi="Arial" w:cs="Arial"/>
        </w:rPr>
        <w:t xml:space="preserve">Crne Gore </w:t>
      </w:r>
      <w:r w:rsidRPr="00773AE0">
        <w:rPr>
          <w:rFonts w:ascii="Arial" w:hAnsi="Arial" w:cs="Arial"/>
        </w:rPr>
        <w:t>o prosječno ostvarenoj trži</w:t>
      </w:r>
      <w:r w:rsidR="00E95E05" w:rsidRPr="00773AE0">
        <w:rPr>
          <w:rFonts w:ascii="Arial" w:hAnsi="Arial" w:cs="Arial"/>
        </w:rPr>
        <w:t>šnoj cijeni mineralnih sirovina u 2017. godini.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 S A D R Ž A J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1. Uvod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2. Tehnički izvještaj o pojavi tehničko-građevinskog kamena</w:t>
      </w:r>
      <w:r w:rsidR="00F47318" w:rsidRPr="00BA1C52">
        <w:rPr>
          <w:rFonts w:ascii="Arial" w:hAnsi="Arial" w:cs="Arial"/>
        </w:rPr>
        <w:t xml:space="preserve"> (vulkaniti</w:t>
      </w:r>
      <w:proofErr w:type="gramStart"/>
      <w:r w:rsidR="00F47318" w:rsidRPr="00BA1C52">
        <w:rPr>
          <w:rFonts w:ascii="Arial" w:hAnsi="Arial" w:cs="Arial"/>
        </w:rPr>
        <w:t>)  “</w:t>
      </w:r>
      <w:proofErr w:type="gramEnd"/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>”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3. Rok trajanja koncesije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4. Osnovni parametri za ocjenu ekonomske opravdanosti investicije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5. Mjere za zaštitu životne sredine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6. Rekultivacija istražno-ekspl</w:t>
      </w:r>
      <w:r w:rsidR="00F47318" w:rsidRPr="00BA1C52">
        <w:rPr>
          <w:rFonts w:ascii="Arial" w:hAnsi="Arial" w:cs="Arial"/>
        </w:rPr>
        <w:t xml:space="preserve">oatacionog </w:t>
      </w:r>
      <w:proofErr w:type="gramStart"/>
      <w:r w:rsidR="00F47318" w:rsidRPr="00BA1C52">
        <w:rPr>
          <w:rFonts w:ascii="Arial" w:hAnsi="Arial" w:cs="Arial"/>
        </w:rPr>
        <w:t>prostora ”</w:t>
      </w:r>
      <w:proofErr w:type="gramEnd"/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>”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7. Unaprjeđenje ekonomske efikasnosti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8.Uslovi</w:t>
      </w:r>
      <w:proofErr w:type="gramEnd"/>
      <w:r w:rsidRPr="00BA1C52">
        <w:rPr>
          <w:rFonts w:ascii="Arial" w:hAnsi="Arial" w:cs="Arial"/>
        </w:rPr>
        <w:t xml:space="preserve"> koje je dužan da ispunjava koncesionar u pogledu tehničke opremljenosti, finansijske sposobnosti i ostale reference i dokaze o ispunjavanju tih uslova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9. Minimalni – početni iznos koncesione naknade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10. Kriterijumi za izbor najpovoljnije ponude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11. Spisak potrebne tehničke dokumentacije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uslovima za njenu izradu, odobrenja, saglasnosti i mišljenja za obavljanje koncesione djelatnosti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12. Hronologija izrade tehničke dokumentacije i pribavljanje odobrenja i saglasnosti za izvođenje rudarskih radova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13. Osnovni elementi tenderske dokumentacije (oglas, dokumentacija vezana za ponudu)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14. Spisak propisa koji se primjenjuje u postupku davanja koncesije i u vršenju koncesione djelatnosti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0" w:name="_Toc390549892"/>
      <w:bookmarkStart w:id="1" w:name="_Toc390336654"/>
      <w:bookmarkStart w:id="2" w:name="_Toc390336529"/>
      <w:bookmarkStart w:id="3" w:name="_Toc402262924"/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6A6D8A" w:rsidRDefault="006A6D8A" w:rsidP="00BA1C52">
      <w:pPr>
        <w:pStyle w:val="Heading1"/>
        <w:spacing w:before="0" w:after="0"/>
        <w:jc w:val="both"/>
        <w:rPr>
          <w:rFonts w:eastAsia="Calibri"/>
          <w:b w:val="0"/>
          <w:bCs w:val="0"/>
          <w:kern w:val="0"/>
          <w:sz w:val="22"/>
          <w:szCs w:val="22"/>
        </w:rPr>
      </w:pPr>
    </w:p>
    <w:p w:rsidR="00BA1C52" w:rsidRDefault="00BA1C52" w:rsidP="00BA1C52"/>
    <w:p w:rsidR="00BA1C52" w:rsidRDefault="00BA1C52" w:rsidP="00BA1C52"/>
    <w:p w:rsidR="00BA1C52" w:rsidRPr="00BA1C52" w:rsidRDefault="00BA1C52" w:rsidP="00BA1C52"/>
    <w:p w:rsidR="006A6D8A" w:rsidRPr="00BA1C52" w:rsidRDefault="006A6D8A" w:rsidP="00BA1C52">
      <w:pPr>
        <w:pStyle w:val="Heading1"/>
        <w:spacing w:before="0" w:after="0"/>
        <w:jc w:val="both"/>
        <w:rPr>
          <w:rFonts w:eastAsia="Calibri"/>
          <w:b w:val="0"/>
          <w:bCs w:val="0"/>
          <w:kern w:val="0"/>
          <w:sz w:val="22"/>
          <w:szCs w:val="22"/>
        </w:rPr>
      </w:pPr>
    </w:p>
    <w:p w:rsidR="006A6D8A" w:rsidRPr="00BA1C52" w:rsidRDefault="006A6D8A" w:rsidP="00BA1C52">
      <w:pPr>
        <w:pStyle w:val="Heading1"/>
        <w:spacing w:before="0" w:after="0"/>
        <w:jc w:val="both"/>
        <w:rPr>
          <w:rFonts w:eastAsia="Calibri"/>
          <w:b w:val="0"/>
          <w:bCs w:val="0"/>
          <w:kern w:val="0"/>
          <w:sz w:val="22"/>
          <w:szCs w:val="22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proofErr w:type="gramStart"/>
      <w:r w:rsidRPr="00BA1C52">
        <w:rPr>
          <w:sz w:val="22"/>
          <w:szCs w:val="22"/>
        </w:rPr>
        <w:t>1  U</w:t>
      </w:r>
      <w:bookmarkEnd w:id="0"/>
      <w:bookmarkEnd w:id="1"/>
      <w:bookmarkEnd w:id="2"/>
      <w:bookmarkEnd w:id="3"/>
      <w:r w:rsidRPr="00BA1C52">
        <w:rPr>
          <w:sz w:val="22"/>
          <w:szCs w:val="22"/>
        </w:rPr>
        <w:t>VOD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Zakonom o koncesijama („Službeni list CG”, broj 08/09) i Planom davanja koncesija za detaljna geološka istraživanja i eksploataciju mineralnih sirovina za</w:t>
      </w:r>
      <w:r w:rsidR="00F47318" w:rsidRPr="00BA1C52">
        <w:rPr>
          <w:rFonts w:ascii="Arial" w:hAnsi="Arial" w:cs="Arial"/>
        </w:rPr>
        <w:t xml:space="preserve"> 2016</w:t>
      </w:r>
      <w:r w:rsidRPr="00BA1C52">
        <w:rPr>
          <w:rFonts w:ascii="Arial" w:hAnsi="Arial" w:cs="Arial"/>
        </w:rPr>
        <w:t xml:space="preserve">. </w:t>
      </w:r>
      <w:proofErr w:type="gramStart"/>
      <w:r w:rsidRPr="00BA1C52">
        <w:rPr>
          <w:rFonts w:ascii="Arial" w:hAnsi="Arial" w:cs="Arial"/>
        </w:rPr>
        <w:t>godinu</w:t>
      </w:r>
      <w:proofErr w:type="gramEnd"/>
      <w:r w:rsidRPr="00BA1C52">
        <w:rPr>
          <w:rFonts w:ascii="Arial" w:hAnsi="Arial" w:cs="Arial"/>
        </w:rPr>
        <w:t>,</w:t>
      </w:r>
      <w:r w:rsidRPr="00BA1C52">
        <w:rPr>
          <w:rFonts w:ascii="Arial" w:hAnsi="Arial" w:cs="Arial"/>
          <w:color w:val="FF0000"/>
        </w:rPr>
        <w:t xml:space="preserve"> </w:t>
      </w:r>
      <w:r w:rsidRPr="00BA1C52">
        <w:rPr>
          <w:rFonts w:ascii="Arial" w:hAnsi="Arial" w:cs="Arial"/>
        </w:rPr>
        <w:t>Ministarstvo ekonomije Vlade Crne Gore (u daljem tekstu: Ministarstvo) je pripremilo Koncesioni akt o pojavi mineralne sirovine tehničko-građevinskog kamena</w:t>
      </w:r>
      <w:r w:rsidR="00F473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 xml:space="preserve"> “</w:t>
      </w:r>
      <w:r w:rsidR="00F47318" w:rsidRPr="00BA1C52">
        <w:rPr>
          <w:rFonts w:ascii="Arial" w:hAnsi="Arial" w:cs="Arial"/>
        </w:rPr>
        <w:t>Bistrica</w:t>
      </w:r>
      <w:r w:rsidR="0072468B" w:rsidRPr="00BA1C52">
        <w:rPr>
          <w:rFonts w:ascii="Arial" w:hAnsi="Arial" w:cs="Arial"/>
        </w:rPr>
        <w:t>”</w:t>
      </w:r>
      <w:r w:rsidRPr="00BA1C52">
        <w:rPr>
          <w:rFonts w:ascii="Arial" w:hAnsi="Arial" w:cs="Arial"/>
        </w:rPr>
        <w:t xml:space="preserve">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 xml:space="preserve"> (u daljem tekstu: Koncesioni akt). Cilj izrade Koncesionog akta je pokretanje postupka javnog nadmetanja za izbor najpovoljnije ponude za dodjelu Ugovora o koncesiji za detaljna geološka istraživanja i eksploataciju pojave mineralne sirovine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="00F47318" w:rsidRPr="00BA1C52">
        <w:rPr>
          <w:rFonts w:ascii="Arial" w:hAnsi="Arial" w:cs="Arial"/>
        </w:rPr>
        <w:t xml:space="preserve"> (vulkaniti) </w:t>
      </w:r>
      <w:r w:rsidRPr="00BA1C52">
        <w:rPr>
          <w:rFonts w:ascii="Arial" w:hAnsi="Arial" w:cs="Arial"/>
        </w:rPr>
        <w:t xml:space="preserve"> “</w:t>
      </w:r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 xml:space="preserve">”,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.</w:t>
      </w:r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Inicijativu za izradu Koncesionog akta je u skladu sa članom 17 stav 2 i članom 41 Zakona o koncesijama podnijelo D</w:t>
      </w:r>
      <w:r w:rsidR="00F47318" w:rsidRPr="00BA1C52">
        <w:rPr>
          <w:rFonts w:ascii="Arial" w:hAnsi="Arial" w:cs="Arial"/>
        </w:rPr>
        <w:t>OO „Građevinarstvo i savjetovanje</w:t>
      </w:r>
      <w:proofErr w:type="gramStart"/>
      <w:r w:rsidRPr="00BA1C52">
        <w:rPr>
          <w:rFonts w:ascii="Arial" w:hAnsi="Arial" w:cs="Arial"/>
        </w:rPr>
        <w:t xml:space="preserve">“ </w:t>
      </w:r>
      <w:r w:rsidR="00F47318" w:rsidRPr="00BA1C52">
        <w:rPr>
          <w:rFonts w:ascii="Arial" w:hAnsi="Arial" w:cs="Arial"/>
        </w:rPr>
        <w:t>GIS</w:t>
      </w:r>
      <w:proofErr w:type="gramEnd"/>
      <w:r w:rsidR="00F47318" w:rsidRPr="00BA1C52">
        <w:rPr>
          <w:rFonts w:ascii="Arial" w:hAnsi="Arial" w:cs="Arial"/>
        </w:rPr>
        <w:t xml:space="preserve"> – Podgorica, </w:t>
      </w:r>
      <w:r w:rsidRPr="00BA1C52">
        <w:rPr>
          <w:rFonts w:ascii="Arial" w:hAnsi="Arial" w:cs="Arial"/>
        </w:rPr>
        <w:t>zavedene u arhivi Ministarstva ekonomije pod brojem: br.</w:t>
      </w:r>
      <w:r w:rsidR="00F47318" w:rsidRPr="00BA1C52">
        <w:rPr>
          <w:rFonts w:ascii="Arial" w:hAnsi="Arial" w:cs="Arial"/>
        </w:rPr>
        <w:t xml:space="preserve"> 07–2251</w:t>
      </w:r>
      <w:r w:rsidRPr="00BA1C52">
        <w:rPr>
          <w:rFonts w:ascii="Arial" w:hAnsi="Arial" w:cs="Arial"/>
        </w:rPr>
        <w:t>/1 od</w:t>
      </w:r>
      <w:r w:rsidR="00F47318" w:rsidRPr="00BA1C52">
        <w:rPr>
          <w:rFonts w:ascii="Arial" w:hAnsi="Arial" w:cs="Arial"/>
        </w:rPr>
        <w:t xml:space="preserve"> 09.10</w:t>
      </w:r>
      <w:r w:rsidRPr="00BA1C52">
        <w:rPr>
          <w:rFonts w:ascii="Arial" w:hAnsi="Arial" w:cs="Arial"/>
        </w:rPr>
        <w:t xml:space="preserve">.2015. </w:t>
      </w:r>
      <w:proofErr w:type="gramStart"/>
      <w:r w:rsidRPr="00BA1C52">
        <w:rPr>
          <w:rFonts w:ascii="Arial" w:hAnsi="Arial" w:cs="Arial"/>
        </w:rPr>
        <w:t>godine</w:t>
      </w:r>
      <w:proofErr w:type="gramEnd"/>
      <w:r w:rsidRPr="00BA1C52">
        <w:rPr>
          <w:rFonts w:ascii="Arial" w:hAnsi="Arial" w:cs="Arial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Nakon prihvaćene inicijative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strane Ministarstva, isto je uvrstilo ležište predmetne mineralne sirovine u Plan davanja koncesija za detaljna geološka istraživanja i eksploataciju mineralnih sirovina za</w:t>
      </w:r>
      <w:r w:rsidR="00F47318" w:rsidRPr="00BA1C52">
        <w:rPr>
          <w:rFonts w:ascii="Arial" w:hAnsi="Arial" w:cs="Arial"/>
        </w:rPr>
        <w:t xml:space="preserve"> 2016</w:t>
      </w:r>
      <w:r w:rsidRPr="00BA1C52">
        <w:rPr>
          <w:rFonts w:ascii="Arial" w:hAnsi="Arial" w:cs="Arial"/>
        </w:rPr>
        <w:t xml:space="preserve">. </w:t>
      </w:r>
      <w:proofErr w:type="gramStart"/>
      <w:r w:rsidRPr="00BA1C52">
        <w:rPr>
          <w:rFonts w:ascii="Arial" w:hAnsi="Arial" w:cs="Arial"/>
        </w:rPr>
        <w:t>godinu</w:t>
      </w:r>
      <w:proofErr w:type="gramEnd"/>
      <w:r w:rsidRPr="00BA1C52">
        <w:rPr>
          <w:rFonts w:ascii="Arial" w:hAnsi="Arial" w:cs="Arial"/>
        </w:rPr>
        <w:t xml:space="preserve">. Vlada Crne Gore,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sjednici od</w:t>
      </w:r>
      <w:r w:rsidR="00F47318" w:rsidRPr="00BA1C52">
        <w:rPr>
          <w:rFonts w:ascii="Arial" w:hAnsi="Arial" w:cs="Arial"/>
        </w:rPr>
        <w:t xml:space="preserve"> 21</w:t>
      </w:r>
      <w:r w:rsidRPr="00BA1C52">
        <w:rPr>
          <w:rFonts w:ascii="Arial" w:hAnsi="Arial" w:cs="Arial"/>
        </w:rPr>
        <w:t xml:space="preserve">. </w:t>
      </w:r>
      <w:proofErr w:type="gramStart"/>
      <w:r w:rsidR="00F47318" w:rsidRPr="00BA1C52">
        <w:rPr>
          <w:rFonts w:ascii="Arial" w:hAnsi="Arial" w:cs="Arial"/>
        </w:rPr>
        <w:t>aprila</w:t>
      </w:r>
      <w:proofErr w:type="gramEnd"/>
      <w:r w:rsidR="00F47318" w:rsidRPr="00BA1C52">
        <w:rPr>
          <w:rFonts w:ascii="Arial" w:hAnsi="Arial" w:cs="Arial"/>
        </w:rPr>
        <w:t xml:space="preserve"> 2016</w:t>
      </w:r>
      <w:r w:rsidRPr="00BA1C52">
        <w:rPr>
          <w:rFonts w:ascii="Arial" w:hAnsi="Arial" w:cs="Arial"/>
        </w:rPr>
        <w:t xml:space="preserve">. </w:t>
      </w:r>
      <w:proofErr w:type="gramStart"/>
      <w:r w:rsidRPr="00BA1C52">
        <w:rPr>
          <w:rFonts w:ascii="Arial" w:hAnsi="Arial" w:cs="Arial"/>
        </w:rPr>
        <w:t>godine</w:t>
      </w:r>
      <w:proofErr w:type="gramEnd"/>
      <w:r w:rsidRPr="00BA1C52">
        <w:rPr>
          <w:rFonts w:ascii="Arial" w:hAnsi="Arial" w:cs="Arial"/>
        </w:rPr>
        <w:t>, donijela Plan davanja koncesija za detaljna geološka istraživanja i eksploataciju mineralnih sirovina za</w:t>
      </w:r>
      <w:r w:rsidR="00F47318" w:rsidRPr="00BA1C52">
        <w:rPr>
          <w:rFonts w:ascii="Arial" w:hAnsi="Arial" w:cs="Arial"/>
        </w:rPr>
        <w:t xml:space="preserve"> 2016</w:t>
      </w:r>
      <w:r w:rsidRPr="00BA1C52">
        <w:rPr>
          <w:rFonts w:ascii="Arial" w:hAnsi="Arial" w:cs="Arial"/>
        </w:rPr>
        <w:t xml:space="preserve">. </w:t>
      </w:r>
      <w:proofErr w:type="gramStart"/>
      <w:r w:rsidRPr="00BA1C52">
        <w:rPr>
          <w:rFonts w:ascii="Arial" w:hAnsi="Arial" w:cs="Arial"/>
        </w:rPr>
        <w:t>godinu</w:t>
      </w:r>
      <w:proofErr w:type="gramEnd"/>
      <w:r w:rsidRPr="00BA1C52">
        <w:rPr>
          <w:rFonts w:ascii="Arial" w:hAnsi="Arial" w:cs="Arial"/>
        </w:rPr>
        <w:t xml:space="preserve"> i zadužila Ministarstvo ekonomije da otpočne pripremu koncesionih akata za realizaciju postupka davanja koncesija za detaljna geološka istraživanja i eksploataciju mineralnih sirovina, u skladu sa donijetim Planom.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Na osnovu zaključaka Vlade</w:t>
      </w:r>
      <w:proofErr w:type="gramStart"/>
      <w:r w:rsidRPr="00BA1C52">
        <w:rPr>
          <w:rFonts w:ascii="Arial" w:hAnsi="Arial" w:cs="Arial"/>
        </w:rPr>
        <w:t>,  Ministarstvo</w:t>
      </w:r>
      <w:proofErr w:type="gramEnd"/>
      <w:r w:rsidRPr="00BA1C52">
        <w:rPr>
          <w:rFonts w:ascii="Arial" w:hAnsi="Arial" w:cs="Arial"/>
        </w:rPr>
        <w:t xml:space="preserve"> je Rješenjem, broj</w:t>
      </w:r>
      <w:r w:rsidR="00F47318" w:rsidRPr="00BA1C52">
        <w:rPr>
          <w:rFonts w:ascii="Arial" w:hAnsi="Arial" w:cs="Arial"/>
        </w:rPr>
        <w:t>: 01- 217</w:t>
      </w:r>
      <w:r w:rsidRPr="00BA1C52">
        <w:rPr>
          <w:rFonts w:ascii="Arial" w:hAnsi="Arial" w:cs="Arial"/>
        </w:rPr>
        <w:t>/1</w:t>
      </w:r>
      <w:r w:rsidR="00F47318" w:rsidRPr="00BA1C52">
        <w:rPr>
          <w:rFonts w:ascii="Arial" w:hAnsi="Arial" w:cs="Arial"/>
        </w:rPr>
        <w:t>7</w:t>
      </w:r>
      <w:r w:rsidRPr="00BA1C52">
        <w:rPr>
          <w:rFonts w:ascii="Arial" w:hAnsi="Arial" w:cs="Arial"/>
        </w:rPr>
        <w:t xml:space="preserve"> od</w:t>
      </w:r>
      <w:r w:rsidR="00F47318" w:rsidRPr="00BA1C52">
        <w:rPr>
          <w:rFonts w:ascii="Arial" w:hAnsi="Arial" w:cs="Arial"/>
        </w:rPr>
        <w:t xml:space="preserve"> 20.05</w:t>
      </w:r>
      <w:r w:rsidRPr="00BA1C52">
        <w:rPr>
          <w:rFonts w:ascii="Arial" w:hAnsi="Arial" w:cs="Arial"/>
        </w:rPr>
        <w:t xml:space="preserve">.2016. </w:t>
      </w:r>
      <w:proofErr w:type="gramStart"/>
      <w:r w:rsidRPr="00BA1C52">
        <w:rPr>
          <w:rFonts w:ascii="Arial" w:hAnsi="Arial" w:cs="Arial"/>
        </w:rPr>
        <w:t>godine</w:t>
      </w:r>
      <w:proofErr w:type="gramEnd"/>
      <w:r w:rsidRPr="00BA1C52">
        <w:rPr>
          <w:rFonts w:ascii="Arial" w:hAnsi="Arial" w:cs="Arial"/>
        </w:rPr>
        <w:t xml:space="preserve"> formiralo Radnu grupu koja je pristupila izradi Koncesionog akta o pojavi mineralne sirovine tehničko-građevinskog kamena </w:t>
      </w:r>
      <w:r w:rsidR="00F47318" w:rsidRPr="00BA1C52">
        <w:rPr>
          <w:rFonts w:ascii="Arial" w:hAnsi="Arial" w:cs="Arial"/>
        </w:rPr>
        <w:t xml:space="preserve">(vulkaniti) </w:t>
      </w:r>
      <w:r w:rsidRPr="00BA1C52">
        <w:rPr>
          <w:rFonts w:ascii="Arial" w:hAnsi="Arial" w:cs="Arial"/>
        </w:rPr>
        <w:t>“</w:t>
      </w:r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 xml:space="preserve">”,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članom 8 stav 3 Zakona o koncesijama, prije upućivanja Koncesionog akta Vladi na usvajanje, Ministarstvo organizuje i sprovodi javnu raspravu u roku od 15 do 30 dana od dana upućivanja javnog poziva za javnu raspravu.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Poslije sprovedene javne rasprave, Ministarstvo dostavlja Vladi,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članom 8 stav 6 Zakona o koncesijama, Koncesioni akt sa Izvještajem sa javne rasprave na usvajanje.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Nakon usvajanja Koncesionog akta od strane Vlade, Ministarstvo objavljuje Javni oglas za davanje koncesije za detaljna geološka istraživanja i eksploataciju pojave mineralne sirovine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Pr="00BA1C52">
        <w:rPr>
          <w:rFonts w:ascii="Arial" w:hAnsi="Arial" w:cs="Arial"/>
        </w:rPr>
        <w:t xml:space="preserve"> </w:t>
      </w:r>
      <w:r w:rsidR="00F47318" w:rsidRPr="00BA1C52">
        <w:rPr>
          <w:rFonts w:ascii="Arial" w:hAnsi="Arial" w:cs="Arial"/>
        </w:rPr>
        <w:t>(vulkaniti) „Bistrica</w:t>
      </w:r>
      <w:r w:rsidRPr="00BA1C52">
        <w:rPr>
          <w:rFonts w:ascii="Arial" w:hAnsi="Arial" w:cs="Arial"/>
        </w:rPr>
        <w:t xml:space="preserve">”,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eastAsia="sl-SI"/>
        </w:rPr>
      </w:pPr>
      <w:r w:rsidRPr="00BA1C52">
        <w:rPr>
          <w:rFonts w:ascii="Arial" w:hAnsi="Arial" w:cs="Arial"/>
          <w:lang w:eastAsia="sl-SI"/>
        </w:rPr>
        <w:t xml:space="preserve">Koncesija za detaljna geološka istraživanja i </w:t>
      </w:r>
      <w:r w:rsidRPr="00BA1C52">
        <w:rPr>
          <w:rFonts w:ascii="Arial" w:hAnsi="Arial" w:cs="Arial"/>
        </w:rPr>
        <w:t xml:space="preserve">eksploataciju pojave tehničko-građevinskog kamena </w:t>
      </w:r>
      <w:r w:rsidR="00F47318" w:rsidRPr="00BA1C52">
        <w:rPr>
          <w:rFonts w:ascii="Arial" w:hAnsi="Arial" w:cs="Arial"/>
        </w:rPr>
        <w:t xml:space="preserve">(vulkaniti) </w:t>
      </w:r>
      <w:r w:rsidRPr="00BA1C52">
        <w:rPr>
          <w:rFonts w:ascii="Arial" w:hAnsi="Arial" w:cs="Arial"/>
        </w:rPr>
        <w:t>“</w:t>
      </w:r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 xml:space="preserve">”,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, se daje</w:t>
      </w:r>
      <w:r w:rsidRPr="00BA1C52">
        <w:rPr>
          <w:rFonts w:ascii="Arial" w:hAnsi="Arial" w:cs="Arial"/>
          <w:lang w:eastAsia="sl-SI"/>
        </w:rPr>
        <w:t xml:space="preserve"> putem javnog nadmetanja u otvorenom postupku, </w:t>
      </w:r>
      <w:proofErr w:type="gramStart"/>
      <w:r w:rsidRPr="00BA1C52">
        <w:rPr>
          <w:rFonts w:ascii="Arial" w:hAnsi="Arial" w:cs="Arial"/>
          <w:lang w:eastAsia="sl-SI"/>
        </w:rPr>
        <w:t>na</w:t>
      </w:r>
      <w:proofErr w:type="gramEnd"/>
      <w:r w:rsidRPr="00BA1C52">
        <w:rPr>
          <w:rFonts w:ascii="Arial" w:hAnsi="Arial" w:cs="Arial"/>
          <w:lang w:eastAsia="sl-SI"/>
        </w:rPr>
        <w:t xml:space="preserve"> način propisan Zakonom o koncesijama.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eastAsia="sl-SI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color w:val="00000A"/>
        </w:rPr>
      </w:pPr>
      <w:r w:rsidRPr="00BA1C52">
        <w:rPr>
          <w:rFonts w:ascii="Arial" w:hAnsi="Arial" w:cs="Arial"/>
          <w:lang w:eastAsia="sl-SI"/>
        </w:rPr>
        <w:t xml:space="preserve">Ponuđač dostavlja ponudu </w:t>
      </w:r>
      <w:proofErr w:type="gramStart"/>
      <w:r w:rsidRPr="00BA1C52">
        <w:rPr>
          <w:rFonts w:ascii="Arial" w:hAnsi="Arial" w:cs="Arial"/>
          <w:lang w:eastAsia="sl-SI"/>
        </w:rPr>
        <w:t>na</w:t>
      </w:r>
      <w:proofErr w:type="gramEnd"/>
      <w:r w:rsidRPr="00BA1C52">
        <w:rPr>
          <w:rFonts w:ascii="Arial" w:hAnsi="Arial" w:cs="Arial"/>
          <w:lang w:eastAsia="sl-SI"/>
        </w:rPr>
        <w:t xml:space="preserve"> osnovu Javnog oglasa za davanje koncesije. Rok za dostavljanje ponuda iznosi jedan</w:t>
      </w:r>
      <w:r w:rsidRPr="00BA1C52">
        <w:rPr>
          <w:rFonts w:ascii="Arial" w:hAnsi="Arial" w:cs="Arial"/>
          <w:color w:val="FF0000"/>
          <w:lang w:eastAsia="sl-SI"/>
        </w:rPr>
        <w:t xml:space="preserve"> </w:t>
      </w:r>
      <w:r w:rsidRPr="00BA1C52">
        <w:rPr>
          <w:rFonts w:ascii="Arial" w:hAnsi="Arial" w:cs="Arial"/>
          <w:lang w:eastAsia="sl-SI"/>
        </w:rPr>
        <w:t xml:space="preserve">mjesec </w:t>
      </w:r>
      <w:proofErr w:type="gramStart"/>
      <w:r w:rsidRPr="00BA1C52">
        <w:rPr>
          <w:rFonts w:ascii="Arial" w:hAnsi="Arial" w:cs="Arial"/>
          <w:lang w:eastAsia="sl-SI"/>
        </w:rPr>
        <w:t>od</w:t>
      </w:r>
      <w:proofErr w:type="gramEnd"/>
      <w:r w:rsidRPr="00BA1C52">
        <w:rPr>
          <w:rFonts w:ascii="Arial" w:hAnsi="Arial" w:cs="Arial"/>
          <w:lang w:eastAsia="sl-SI"/>
        </w:rPr>
        <w:t xml:space="preserve"> dana objavljivanja javnog oglasa u ’’Službenom listu Crne Gore’’.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F62DBD" w:rsidRPr="00BA1C52" w:rsidRDefault="00F62DBD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6A6D8A" w:rsidRPr="00BA1C52" w:rsidRDefault="006A6D8A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lastRenderedPageBreak/>
        <w:t>2  TEHNIČKI</w:t>
      </w:r>
      <w:proofErr w:type="gramEnd"/>
      <w:r w:rsidRPr="00BA1C52">
        <w:rPr>
          <w:rFonts w:ascii="Arial" w:hAnsi="Arial" w:cs="Arial"/>
          <w:b/>
        </w:rPr>
        <w:t xml:space="preserve"> IZVJEŠTAJ O POJAVI TEHNIČKO-GRAĐEVINSKOG KAMENA </w:t>
      </w:r>
      <w:r w:rsidR="00F47318" w:rsidRPr="00BA1C52">
        <w:rPr>
          <w:rFonts w:ascii="Arial" w:hAnsi="Arial" w:cs="Arial"/>
          <w:b/>
        </w:rPr>
        <w:t xml:space="preserve">(VULKANITI) </w:t>
      </w:r>
      <w:r w:rsidRPr="00BA1C52">
        <w:rPr>
          <w:rFonts w:ascii="Arial" w:hAnsi="Arial" w:cs="Arial"/>
          <w:b/>
        </w:rPr>
        <w:t>„</w:t>
      </w:r>
      <w:r w:rsidR="00F47318" w:rsidRPr="00BA1C52">
        <w:rPr>
          <w:rFonts w:ascii="Arial" w:hAnsi="Arial" w:cs="Arial"/>
          <w:b/>
        </w:rPr>
        <w:t>BISTRICA</w:t>
      </w:r>
      <w:r w:rsidRPr="00BA1C52">
        <w:rPr>
          <w:rFonts w:ascii="Arial" w:hAnsi="Arial" w:cs="Arial"/>
          <w:b/>
        </w:rPr>
        <w:t>”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2.1  Predmet</w:t>
      </w:r>
      <w:proofErr w:type="gramEnd"/>
      <w:r w:rsidRPr="00BA1C52">
        <w:rPr>
          <w:rFonts w:ascii="Arial" w:hAnsi="Arial" w:cs="Arial"/>
          <w:b/>
          <w:u w:val="single"/>
        </w:rPr>
        <w:t xml:space="preserve"> koncesije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 xml:space="preserve">Predmet ovog Koncesionog akta je pojava nemetalične mineralne sirovine tehničko-građevinskog kamena </w:t>
      </w:r>
      <w:r w:rsidR="00F47318" w:rsidRPr="00BA1C52">
        <w:rPr>
          <w:rFonts w:ascii="Arial" w:hAnsi="Arial" w:cs="Arial"/>
        </w:rPr>
        <w:t xml:space="preserve">(vulkaniti) </w:t>
      </w:r>
      <w:r w:rsidRPr="00BA1C52">
        <w:rPr>
          <w:rFonts w:ascii="Arial" w:hAnsi="Arial" w:cs="Arial"/>
        </w:rPr>
        <w:t>“</w:t>
      </w:r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 xml:space="preserve">”,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Rješenjem Ministarstva, br</w:t>
      </w:r>
      <w:r w:rsidR="00F47318" w:rsidRPr="00BA1C52">
        <w:rPr>
          <w:rFonts w:ascii="Arial" w:hAnsi="Arial" w:cs="Arial"/>
        </w:rPr>
        <w:t>. 01-217</w:t>
      </w:r>
      <w:r w:rsidRPr="00BA1C52">
        <w:rPr>
          <w:rFonts w:ascii="Arial" w:hAnsi="Arial" w:cs="Arial"/>
        </w:rPr>
        <w:t>/1</w:t>
      </w:r>
      <w:r w:rsidR="00F47318" w:rsidRPr="00BA1C52">
        <w:rPr>
          <w:rFonts w:ascii="Arial" w:hAnsi="Arial" w:cs="Arial"/>
        </w:rPr>
        <w:t>7</w:t>
      </w:r>
      <w:r w:rsidRPr="00BA1C52">
        <w:rPr>
          <w:rFonts w:ascii="Arial" w:hAnsi="Arial" w:cs="Arial"/>
        </w:rPr>
        <w:t xml:space="preserve">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="00F47318" w:rsidRPr="00BA1C52">
        <w:rPr>
          <w:rFonts w:ascii="Arial" w:hAnsi="Arial" w:cs="Arial"/>
        </w:rPr>
        <w:t xml:space="preserve"> 20.05</w:t>
      </w:r>
      <w:r w:rsidRPr="00BA1C52">
        <w:rPr>
          <w:rFonts w:ascii="Arial" w:hAnsi="Arial" w:cs="Arial"/>
        </w:rPr>
        <w:t xml:space="preserve">.2016. </w:t>
      </w:r>
      <w:proofErr w:type="gramStart"/>
      <w:r w:rsidRPr="00BA1C52">
        <w:rPr>
          <w:rFonts w:ascii="Arial" w:hAnsi="Arial" w:cs="Arial"/>
        </w:rPr>
        <w:t>godine</w:t>
      </w:r>
      <w:proofErr w:type="gramEnd"/>
      <w:r w:rsidRPr="00BA1C52">
        <w:rPr>
          <w:rFonts w:ascii="Arial" w:hAnsi="Arial" w:cs="Arial"/>
        </w:rPr>
        <w:t>, obrazovana je stručna Radna grupa za izradu Koncesionog akta za dodjelu koncesije za detaljna geološka istraživanja i eksploataciju pojave mineralne sirovine tehničko-građevinskog kamena</w:t>
      </w:r>
      <w:r w:rsidR="00F47318" w:rsidRPr="00BA1C52">
        <w:rPr>
          <w:rFonts w:ascii="Arial" w:hAnsi="Arial" w:cs="Arial"/>
        </w:rPr>
        <w:t xml:space="preserve"> (vulkaniti) </w:t>
      </w:r>
      <w:r w:rsidRPr="00BA1C52">
        <w:rPr>
          <w:rFonts w:ascii="Arial" w:hAnsi="Arial" w:cs="Arial"/>
        </w:rPr>
        <w:t xml:space="preserve"> „</w:t>
      </w:r>
      <w:r w:rsidR="00F47318" w:rsidRPr="00BA1C52">
        <w:rPr>
          <w:rFonts w:ascii="Arial" w:hAnsi="Arial" w:cs="Arial"/>
        </w:rPr>
        <w:t>Bistrica</w:t>
      </w:r>
      <w:r w:rsidRPr="00BA1C52">
        <w:rPr>
          <w:rFonts w:ascii="Arial" w:hAnsi="Arial" w:cs="Arial"/>
        </w:rPr>
        <w:t xml:space="preserve">“, opština </w:t>
      </w:r>
      <w:r w:rsidR="00F47318" w:rsidRPr="00BA1C52">
        <w:rPr>
          <w:rFonts w:ascii="Arial" w:hAnsi="Arial" w:cs="Arial"/>
        </w:rPr>
        <w:t>Berane</w:t>
      </w:r>
      <w:r w:rsidRPr="00BA1C52">
        <w:rPr>
          <w:rFonts w:ascii="Arial" w:hAnsi="Arial" w:cs="Arial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2.2  Položaj</w:t>
      </w:r>
      <w:proofErr w:type="gramEnd"/>
      <w:r w:rsidRPr="00BA1C52">
        <w:rPr>
          <w:rFonts w:ascii="Arial" w:hAnsi="Arial" w:cs="Arial"/>
          <w:b/>
          <w:u w:val="single"/>
        </w:rPr>
        <w:t xml:space="preserve"> i opis lokacije istražno-eksploatacionog prostora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B11064" w:rsidRPr="00BA1C52" w:rsidRDefault="00F47318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Lokalitet „Bistrica“ nalazi se 4 km vazdušne linije od Berana, duž regionalnog asfaltnog puta Berane – Lubnice – Kolašin, neposredno uz rijeku Bistricu, na južnim padinama brda Ćafa (1422 m.n.m.). Od regionalnog puta Berane - Andrijevica, odnosno od mjesta Buče, gdje se odvaja put za Lubnicu, lokalitet je udaljen oko 6 km. Pripada topografskom listu „Ivangrad - zapad“, 1:25 000</w:t>
      </w:r>
      <w:r w:rsidR="00B11064" w:rsidRPr="00BA1C52">
        <w:rPr>
          <w:rFonts w:ascii="Arial" w:hAnsi="Arial" w:cs="Arial"/>
          <w:lang w:val="sr-Latn-CS"/>
        </w:rPr>
        <w:t xml:space="preserve">, </w:t>
      </w:r>
      <w:r w:rsidR="00B11064" w:rsidRPr="00BA1C52">
        <w:rPr>
          <w:rFonts w:ascii="Arial" w:hAnsi="Arial" w:cs="Arial"/>
          <w:lang w:val="sv-SE"/>
        </w:rPr>
        <w:t xml:space="preserve"> a nalazi se na lijevoj strani </w:t>
      </w:r>
      <w:r w:rsidR="00B11064" w:rsidRPr="00BA1C52">
        <w:rPr>
          <w:rFonts w:ascii="Arial" w:hAnsi="Arial" w:cs="Arial"/>
          <w:lang w:val="sr-Latn-CS"/>
        </w:rPr>
        <w:t>regionalnog puta Berane – Lubnica - Kolašin</w:t>
      </w:r>
      <w:r w:rsidR="00B11064" w:rsidRPr="00BA1C52">
        <w:rPr>
          <w:rFonts w:ascii="Arial" w:hAnsi="Arial" w:cs="Arial"/>
          <w:lang w:val="sv-SE"/>
        </w:rPr>
        <w:t xml:space="preserve"> preko rijeke Bistrice, odnosno na sjeveroistočnim padinama brda Straža, nadmorske visine od 1313 </w:t>
      </w:r>
      <w:r w:rsidR="00B11064" w:rsidRPr="00BA1C52">
        <w:rPr>
          <w:rFonts w:ascii="Arial" w:hAnsi="Arial" w:cs="Arial"/>
          <w:sz w:val="24"/>
          <w:szCs w:val="24"/>
          <w:lang w:val="sv-SE"/>
        </w:rPr>
        <w:t>m.</w:t>
      </w:r>
    </w:p>
    <w:p w:rsidR="00F47318" w:rsidRPr="00BA1C52" w:rsidRDefault="00F47318" w:rsidP="00BA1C52">
      <w:pPr>
        <w:spacing w:after="0"/>
        <w:jc w:val="both"/>
        <w:rPr>
          <w:rFonts w:ascii="Arial" w:hAnsi="Arial" w:cs="Arial"/>
          <w:lang w:val="sv-SE"/>
        </w:rPr>
      </w:pPr>
    </w:p>
    <w:p w:rsidR="00F47318" w:rsidRPr="00BA1C52" w:rsidRDefault="00F47318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Na topografskoj karti ucrtane su konture istražno-eksploatacionog prostora ograničenog stranama koje prolaze kroz tjemene geodetske tačke (A – F) sa datim koordinatama.</w:t>
      </w:r>
    </w:p>
    <w:p w:rsidR="00F47318" w:rsidRPr="00BA1C52" w:rsidRDefault="00F47318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F47318" w:rsidRPr="00BA1C52" w:rsidRDefault="00F47318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Koordinate graničnih tačaka i površina istražno-eksploatacionog prostora „Bistrica“, dati su u sljedećoj tabeli:</w:t>
      </w:r>
    </w:p>
    <w:p w:rsidR="00F47318" w:rsidRPr="00BA1C52" w:rsidRDefault="00F47318" w:rsidP="00BA1C52">
      <w:pPr>
        <w:spacing w:after="0"/>
        <w:jc w:val="both"/>
        <w:rPr>
          <w:rFonts w:ascii="Arial" w:hAnsi="Arial" w:cs="Arial"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2"/>
        <w:gridCol w:w="2328"/>
        <w:gridCol w:w="2328"/>
        <w:gridCol w:w="2319"/>
      </w:tblGrid>
      <w:tr w:rsidR="00F47318" w:rsidRPr="00BA1C52" w:rsidTr="00F62DBD">
        <w:trPr>
          <w:trHeight w:val="345"/>
        </w:trPr>
        <w:tc>
          <w:tcPr>
            <w:tcW w:w="23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T A Č K A</w:t>
            </w:r>
          </w:p>
        </w:tc>
        <w:tc>
          <w:tcPr>
            <w:tcW w:w="46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  <w:lang w:val="de-DE"/>
              </w:rPr>
              <w:t>K O O R D I N A T E</w:t>
            </w:r>
          </w:p>
        </w:tc>
        <w:tc>
          <w:tcPr>
            <w:tcW w:w="23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  <w:lang w:val="sv-SE"/>
              </w:rPr>
              <w:t>P O V R Š I N A (ha)</w:t>
            </w:r>
          </w:p>
        </w:tc>
      </w:tr>
      <w:tr w:rsidR="00F47318" w:rsidRPr="00BA1C52" w:rsidTr="00F62DBD">
        <w:trPr>
          <w:trHeight w:val="300"/>
        </w:trPr>
        <w:tc>
          <w:tcPr>
            <w:tcW w:w="23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/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318" w:rsidRPr="00BA1C52" w:rsidTr="00F62DBD">
        <w:tc>
          <w:tcPr>
            <w:tcW w:w="23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4 745 000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402 700</w:t>
            </w:r>
          </w:p>
        </w:tc>
        <w:tc>
          <w:tcPr>
            <w:tcW w:w="23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F47318" w:rsidRPr="00BA1C52" w:rsidTr="00F62DBD">
        <w:tc>
          <w:tcPr>
            <w:tcW w:w="2312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4 744 550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402 980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318" w:rsidRPr="00BA1C52" w:rsidTr="00F62DBD">
        <w:tc>
          <w:tcPr>
            <w:tcW w:w="2312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4 744 450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403 290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318" w:rsidRPr="00BA1C52" w:rsidTr="00F62DBD">
        <w:tc>
          <w:tcPr>
            <w:tcW w:w="2312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4 744 200</w:t>
            </w:r>
          </w:p>
        </w:tc>
        <w:tc>
          <w:tcPr>
            <w:tcW w:w="2328" w:type="dxa"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403 470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318" w:rsidRPr="00BA1C52" w:rsidTr="00F62DBD">
        <w:trPr>
          <w:trHeight w:val="203"/>
        </w:trPr>
        <w:tc>
          <w:tcPr>
            <w:tcW w:w="231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23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4 743 860</w:t>
            </w:r>
          </w:p>
        </w:tc>
        <w:tc>
          <w:tcPr>
            <w:tcW w:w="23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403 220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318" w:rsidRPr="00BA1C52" w:rsidTr="00F62DBD">
        <w:trPr>
          <w:trHeight w:val="270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1C52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4 744 520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318" w:rsidRPr="00BA1C52" w:rsidRDefault="00484F1C" w:rsidP="00BA1C5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C52">
              <w:rPr>
                <w:rFonts w:ascii="Arial" w:hAnsi="Arial" w:cs="Arial"/>
                <w:sz w:val="20"/>
                <w:szCs w:val="20"/>
              </w:rPr>
              <w:t>7</w:t>
            </w:r>
            <w:r w:rsidR="00F47318" w:rsidRPr="00BA1C52">
              <w:rPr>
                <w:rFonts w:ascii="Arial" w:hAnsi="Arial" w:cs="Arial"/>
                <w:sz w:val="20"/>
                <w:szCs w:val="20"/>
              </w:rPr>
              <w:t xml:space="preserve"> 402 370</w:t>
            </w:r>
          </w:p>
        </w:tc>
        <w:tc>
          <w:tcPr>
            <w:tcW w:w="23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318" w:rsidRPr="00BA1C52" w:rsidRDefault="00F47318" w:rsidP="00BA1C5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5AB2" w:rsidRPr="00BA1C52" w:rsidRDefault="00435AB2" w:rsidP="00BA1C52">
      <w:pPr>
        <w:spacing w:after="0"/>
        <w:jc w:val="both"/>
        <w:rPr>
          <w:rFonts w:ascii="Arial" w:hAnsi="Arial" w:cs="Arial"/>
          <w:u w:val="single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2.3  Podaci</w:t>
      </w:r>
      <w:proofErr w:type="gramEnd"/>
      <w:r w:rsidRPr="00BA1C52">
        <w:rPr>
          <w:rFonts w:ascii="Arial" w:hAnsi="Arial" w:cs="Arial"/>
          <w:b/>
          <w:u w:val="single"/>
        </w:rPr>
        <w:t xml:space="preserve"> o imovinsko-pravnim odnosima 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b/>
          <w:u w:val="single"/>
        </w:rPr>
      </w:pPr>
    </w:p>
    <w:p w:rsidR="00B11064" w:rsidRDefault="00B11064" w:rsidP="00BA1C52">
      <w:pPr>
        <w:spacing w:after="0"/>
        <w:jc w:val="both"/>
        <w:rPr>
          <w:rFonts w:ascii="Arial" w:hAnsi="Arial" w:cs="Arial"/>
          <w:lang w:val="sv-SE"/>
        </w:rPr>
      </w:pPr>
      <w:r w:rsidRPr="00BA1C52">
        <w:rPr>
          <w:rFonts w:ascii="Arial" w:hAnsi="Arial" w:cs="Arial"/>
          <w:lang w:val="sr-Latn-CS"/>
        </w:rPr>
        <w:t xml:space="preserve">Istražno-eksploatacioni prostor „Bistrica“ administrativno pripada Opštini Berane. </w:t>
      </w:r>
      <w:r w:rsidRPr="00BA1C52">
        <w:rPr>
          <w:rFonts w:ascii="Arial" w:hAnsi="Arial" w:cs="Arial"/>
          <w:lang w:val="sv-SE"/>
        </w:rPr>
        <w:t>Prema katastarskoj podjeli pripada KO Buče II, katastarska parcela: blok 15, broj 26, podbroj RB 1 (Posjedovni list 199, KO Buče II, izdat, na zahtjev podnosioca  Inicijative,  od Uprave za nekretnine - Područna jedinica Berane, br. 111-956-5153/2015 od 05.10.2015. godine, u kojem je navedeno da je sopstvenik - posjednik D.S.</w:t>
      </w:r>
      <w:r w:rsidR="00D94410" w:rsidRPr="00BA1C52">
        <w:rPr>
          <w:rFonts w:ascii="Arial" w:hAnsi="Arial" w:cs="Arial"/>
          <w:lang w:val="sv-SE"/>
        </w:rPr>
        <w:t xml:space="preserve"> (društvena svojina) </w:t>
      </w:r>
      <w:r w:rsidRPr="00BA1C52">
        <w:rPr>
          <w:rFonts w:ascii="Arial" w:hAnsi="Arial" w:cs="Arial"/>
          <w:lang w:val="sv-SE"/>
        </w:rPr>
        <w:t xml:space="preserve"> Dobro sela, Buče, obim prava 1/1).</w:t>
      </w:r>
    </w:p>
    <w:p w:rsidR="007427E0" w:rsidRPr="00BA1C52" w:rsidRDefault="007427E0" w:rsidP="00BA1C52">
      <w:pPr>
        <w:spacing w:after="0"/>
        <w:jc w:val="both"/>
        <w:rPr>
          <w:rFonts w:ascii="Arial" w:hAnsi="Arial" w:cs="Arial"/>
          <w:lang w:val="sv-SE"/>
        </w:rPr>
      </w:pPr>
    </w:p>
    <w:p w:rsidR="00435AB2" w:rsidRPr="00BA1C52" w:rsidRDefault="007427E0" w:rsidP="00BA1C52">
      <w:pPr>
        <w:spacing w:after="0"/>
        <w:jc w:val="both"/>
        <w:rPr>
          <w:rFonts w:ascii="Arial" w:hAnsi="Arial" w:cs="Arial"/>
        </w:rPr>
      </w:pPr>
      <w:r w:rsidRPr="00277B22">
        <w:rPr>
          <w:rFonts w:ascii="Arial" w:hAnsi="Arial" w:cs="Arial"/>
        </w:rPr>
        <w:t>Konces</w:t>
      </w:r>
      <w:r>
        <w:rPr>
          <w:rFonts w:ascii="Arial" w:hAnsi="Arial" w:cs="Arial"/>
        </w:rPr>
        <w:t>ionar dobijanjem koncesije dobija</w:t>
      </w:r>
      <w:r w:rsidRPr="00277B22">
        <w:rPr>
          <w:rFonts w:ascii="Arial" w:hAnsi="Arial" w:cs="Arial"/>
        </w:rPr>
        <w:t xml:space="preserve"> saglasnost za korišćenje zamljišta u svojini Koncedenta, u skladu </w:t>
      </w:r>
      <w:proofErr w:type="gramStart"/>
      <w:r w:rsidRPr="00277B22">
        <w:rPr>
          <w:rFonts w:ascii="Arial" w:hAnsi="Arial" w:cs="Arial"/>
        </w:rPr>
        <w:t>sa</w:t>
      </w:r>
      <w:proofErr w:type="gramEnd"/>
      <w:r w:rsidRPr="00277B22">
        <w:rPr>
          <w:rFonts w:ascii="Arial" w:hAnsi="Arial" w:cs="Arial"/>
        </w:rPr>
        <w:t xml:space="preserve"> članom 44 stav 2 Zakona o koncesijama.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lastRenderedPageBreak/>
        <w:t>2.4  Podaci</w:t>
      </w:r>
      <w:proofErr w:type="gramEnd"/>
      <w:r w:rsidRPr="00BA1C52">
        <w:rPr>
          <w:rFonts w:ascii="Arial" w:hAnsi="Arial" w:cs="Arial"/>
          <w:b/>
          <w:u w:val="single"/>
        </w:rPr>
        <w:t xml:space="preserve"> iz prostorno–urbanističke dokumentacije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v-SE"/>
        </w:rPr>
      </w:pPr>
      <w:r w:rsidRPr="00BA1C52">
        <w:rPr>
          <w:rFonts w:ascii="Arial" w:hAnsi="Arial" w:cs="Arial"/>
          <w:lang w:val="sv-SE"/>
        </w:rPr>
        <w:t xml:space="preserve">Na osnovu akta Sekretarijata za planiranje i uređenje prostora Opštine Berane, koji je dostavljen podnosiocu Inicijative, br. 07-351-463/1 od od 06.10.2015. godine, predmetna lokacija se nalazi u zahvatu Prostorno-urbanističkog plana Opštine Berane, a prostorna razrada je sa namjenom šumske i poljoprivredne površine. Smjernicama za sprovođenje ovog Plana van generalne urbanističke razrade, mineralni resursi su prepoznati potencijali tehničko-građevinskog i arhitektonsko-građevinskog kamena u kanjonu rijeke Bistrice koji se mogu koristiti pod odgovarajućim uslovima. </w:t>
      </w:r>
    </w:p>
    <w:p w:rsidR="0036485F" w:rsidRPr="00BA1C52" w:rsidRDefault="0036485F" w:rsidP="00BA1C52">
      <w:pPr>
        <w:spacing w:after="0"/>
        <w:jc w:val="both"/>
        <w:rPr>
          <w:rFonts w:ascii="Arial" w:hAnsi="Arial" w:cs="Arial"/>
          <w:lang w:val="sv-SE"/>
        </w:rPr>
      </w:pPr>
    </w:p>
    <w:p w:rsidR="0036485F" w:rsidRPr="00BA1C52" w:rsidRDefault="00F62DBD" w:rsidP="00BA1C52">
      <w:pPr>
        <w:spacing w:after="0"/>
        <w:jc w:val="both"/>
        <w:rPr>
          <w:rFonts w:ascii="Arial" w:hAnsi="Arial" w:cs="Arial"/>
          <w:b/>
          <w:lang w:val="sv-SE"/>
        </w:rPr>
      </w:pPr>
      <w:r w:rsidRPr="00BA1C52">
        <w:rPr>
          <w:rFonts w:ascii="Arial" w:hAnsi="Arial" w:cs="Arial"/>
          <w:b/>
          <w:lang w:val="sv-SE"/>
        </w:rPr>
        <w:t>Akt Ministarstva održivog razvoja i turizma, br. 1055-1373/4 od 31.07.2017. godine, kojim se konstatuje da je u Prostorno-urbanističkom planu Opštine Berane (”Sl.list CG” – opštinski propisi, br. 35/14) predviđena mogućnost dobijanja koncesije za eksploataciju građevinskog kamena, a nakon toga i mogućnost dobijanja urbanističko- tehničkih uslova kod ovog ministarstva.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val="sv-SE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2.5  Infrastrukturni</w:t>
      </w:r>
      <w:proofErr w:type="gramEnd"/>
      <w:r w:rsidRPr="00BA1C52">
        <w:rPr>
          <w:rFonts w:ascii="Arial" w:hAnsi="Arial" w:cs="Arial"/>
          <w:b/>
          <w:u w:val="single"/>
        </w:rPr>
        <w:t xml:space="preserve"> objekti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 xml:space="preserve">Saobraćajni uslovi su povoljni zbog blizine magistralne saobraćajnice Berane - Andrijevica. 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U blizini predmetne lokacije nema naseljenih mjesta, a prve kuće su u mjestu Praćevac, oko 1,5 km od lokacije.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1C52">
        <w:rPr>
          <w:rFonts w:ascii="Arial" w:hAnsi="Arial" w:cs="Arial"/>
          <w:lang w:val="sr-Cyrl-CS"/>
        </w:rPr>
        <w:t>Napajanje električnom energijom se vrši preko visokonaponske mreže</w:t>
      </w:r>
      <w:r w:rsidRPr="00BA1C52">
        <w:rPr>
          <w:rFonts w:ascii="Arial" w:hAnsi="Arial" w:cs="Arial"/>
          <w:sz w:val="24"/>
          <w:szCs w:val="24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B11064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2.6</w:t>
      </w:r>
      <w:r w:rsidR="00435AB2" w:rsidRPr="00BA1C52">
        <w:rPr>
          <w:rFonts w:ascii="Arial" w:hAnsi="Arial" w:cs="Arial"/>
          <w:b/>
          <w:u w:val="single"/>
        </w:rPr>
        <w:t xml:space="preserve">  Hidrografske</w:t>
      </w:r>
      <w:proofErr w:type="gramEnd"/>
      <w:r w:rsidR="00435AB2" w:rsidRPr="00BA1C52">
        <w:rPr>
          <w:rFonts w:ascii="Arial" w:hAnsi="Arial" w:cs="Arial"/>
          <w:b/>
          <w:u w:val="single"/>
        </w:rPr>
        <w:t xml:space="preserve"> karakteristike</w:t>
      </w:r>
    </w:p>
    <w:p w:rsidR="00B11064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shd w:val="clear" w:color="auto" w:fill="FFFFFF"/>
          <w:lang w:val="sr-Latn-CS"/>
        </w:rPr>
      </w:pPr>
      <w:r w:rsidRPr="00BA1C52">
        <w:rPr>
          <w:rFonts w:ascii="Arial" w:hAnsi="Arial" w:cs="Arial"/>
          <w:shd w:val="clear" w:color="auto" w:fill="FFFFFF"/>
          <w:lang w:val="sr-Latn-CS"/>
        </w:rPr>
        <w:t>Na području Opštine Berane hidrografsku mrežu čine brojni vodotoci, jezera, izvori vrela. Osnovnu riječnu mrežu formira rijeka Lim sa svojim pritokama. Lijeve pritoke Lima su Ševarinska rijeka, Bistrica i Sušica, a desne su Šekularska rijeka, Kaldurska rijeka, Lješnica i Budimska rijeka.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shd w:val="clear" w:color="auto" w:fill="FFFFFF"/>
          <w:lang w:val="sr-Latn-CS"/>
        </w:rPr>
      </w:pPr>
    </w:p>
    <w:p w:rsidR="0036485F" w:rsidRPr="00BA1C52" w:rsidRDefault="00B11064" w:rsidP="00BA1C52">
      <w:pPr>
        <w:spacing w:after="0"/>
        <w:jc w:val="both"/>
        <w:rPr>
          <w:rFonts w:ascii="Arial" w:hAnsi="Arial" w:cs="Arial"/>
          <w:shd w:val="clear" w:color="auto" w:fill="FFFFFF"/>
          <w:lang w:val="sr-Latn-CS"/>
        </w:rPr>
      </w:pPr>
      <w:r w:rsidRPr="00BA1C52">
        <w:rPr>
          <w:rFonts w:ascii="Arial" w:hAnsi="Arial" w:cs="Arial"/>
          <w:shd w:val="clear" w:color="auto" w:fill="FFFFFF"/>
          <w:lang w:val="sr-Latn-CS"/>
        </w:rPr>
        <w:t>Važnu hidrografsku pojavu čine sljedeća glečerska jezera: Pešića jezero, veliko i malo Ursulovačko jezero, veliko i malo Šiško jezero, a ista se nalaze na području Bjelasice.</w:t>
      </w:r>
    </w:p>
    <w:p w:rsidR="00435AB2" w:rsidRPr="00BA1C52" w:rsidRDefault="00B11064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2.7</w:t>
      </w:r>
      <w:r w:rsidR="00435AB2" w:rsidRPr="00BA1C52">
        <w:rPr>
          <w:rFonts w:ascii="Arial" w:hAnsi="Arial" w:cs="Arial"/>
          <w:b/>
          <w:u w:val="single"/>
        </w:rPr>
        <w:t xml:space="preserve">  Klimatske</w:t>
      </w:r>
      <w:proofErr w:type="gramEnd"/>
      <w:r w:rsidR="00435AB2" w:rsidRPr="00BA1C52">
        <w:rPr>
          <w:rFonts w:ascii="Arial" w:hAnsi="Arial" w:cs="Arial"/>
          <w:b/>
          <w:u w:val="single"/>
        </w:rPr>
        <w:t xml:space="preserve"> odlike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shd w:val="clear" w:color="auto" w:fill="FFFFFF"/>
          <w:lang w:val="sr-Latn-CS"/>
        </w:rPr>
      </w:pPr>
      <w:r w:rsidRPr="00BA1C52">
        <w:rPr>
          <w:rFonts w:ascii="Arial" w:hAnsi="Arial" w:cs="Arial"/>
          <w:shd w:val="clear" w:color="auto" w:fill="FFFFFF"/>
          <w:lang w:val="sr-Latn-CS"/>
        </w:rPr>
        <w:t>Na području Berana zastupljena je umjereno-kontinentalna, subplaninska i planinska klima. Klima ima veoma izraženu razvojnu ulogu u domenu poljoprivrede i turizma. Najtopliji mjeseci su jul i avgust sa srednjom temperaturom od 25,6 C</w:t>
      </w:r>
      <w:r w:rsidRPr="00BA1C52">
        <w:rPr>
          <w:rFonts w:ascii="Arial" w:hAnsi="Arial" w:cs="Arial"/>
          <w:shd w:val="clear" w:color="auto" w:fill="FFFFFF"/>
          <w:vertAlign w:val="superscript"/>
          <w:lang w:val="sr-Latn-CS"/>
        </w:rPr>
        <w:t>0</w:t>
      </w:r>
      <w:r w:rsidRPr="00BA1C52">
        <w:rPr>
          <w:rFonts w:ascii="Arial" w:hAnsi="Arial" w:cs="Arial"/>
          <w:shd w:val="clear" w:color="auto" w:fill="FFFFFF"/>
          <w:lang w:val="sr-Latn-CS"/>
        </w:rPr>
        <w:t>, najhladniji su decembar i januar sa srednjom temperaturom od -2 C</w:t>
      </w:r>
      <w:r w:rsidRPr="00BA1C52">
        <w:rPr>
          <w:rFonts w:ascii="Arial" w:hAnsi="Arial" w:cs="Arial"/>
          <w:shd w:val="clear" w:color="auto" w:fill="FFFFFF"/>
          <w:vertAlign w:val="superscript"/>
          <w:lang w:val="sr-Latn-CS"/>
        </w:rPr>
        <w:t>0</w:t>
      </w:r>
      <w:r w:rsidRPr="00BA1C52">
        <w:rPr>
          <w:rFonts w:ascii="Arial" w:hAnsi="Arial" w:cs="Arial"/>
          <w:shd w:val="clear" w:color="auto" w:fill="FFFFFF"/>
          <w:lang w:val="sr-Latn-CS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435AB2" w:rsidRPr="00BA1C52" w:rsidRDefault="00B11064" w:rsidP="00BA1C52">
      <w:pPr>
        <w:spacing w:after="0"/>
        <w:jc w:val="both"/>
        <w:rPr>
          <w:rFonts w:ascii="Arial" w:hAnsi="Arial" w:cs="Arial"/>
          <w:b/>
          <w:u w:val="single"/>
        </w:rPr>
      </w:pPr>
      <w:proofErr w:type="gramStart"/>
      <w:r w:rsidRPr="00BA1C52">
        <w:rPr>
          <w:rFonts w:ascii="Arial" w:hAnsi="Arial" w:cs="Arial"/>
          <w:b/>
          <w:u w:val="single"/>
        </w:rPr>
        <w:t>2.8</w:t>
      </w:r>
      <w:r w:rsidR="00435AB2" w:rsidRPr="00BA1C52">
        <w:rPr>
          <w:rFonts w:ascii="Arial" w:hAnsi="Arial" w:cs="Arial"/>
          <w:b/>
          <w:u w:val="single"/>
        </w:rPr>
        <w:t xml:space="preserve">  Podaci</w:t>
      </w:r>
      <w:proofErr w:type="gramEnd"/>
      <w:r w:rsidR="00435AB2" w:rsidRPr="00BA1C52">
        <w:rPr>
          <w:rFonts w:ascii="Arial" w:hAnsi="Arial" w:cs="Arial"/>
          <w:b/>
          <w:u w:val="single"/>
        </w:rPr>
        <w:t xml:space="preserve"> o izvršenim geološkim istraživanjima, rezervama i kvalitetu mineralne sirovine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Duž regionalnog puta Berane - Andrijevica, na osnovu terenskih zapažanja, može se zaključiti da predmetni lokalitet izgrađuju vulkanske stijene, prevashodno keratofiri i kvarckeratofiri zelene do tamno zelene boje, podređeno andeziti uz rjeđu pojavu uškriljenih tufova i tufita.</w:t>
      </w:r>
      <w:r w:rsidRPr="00BA1C52">
        <w:rPr>
          <w:rFonts w:ascii="Arial" w:hAnsi="Arial" w:cs="Arial"/>
          <w:b/>
          <w:i/>
          <w:lang w:val="sr-Latn-CS"/>
        </w:rPr>
        <w:t xml:space="preserve"> </w:t>
      </w:r>
      <w:r w:rsidRPr="00BA1C52">
        <w:rPr>
          <w:rFonts w:ascii="Arial" w:hAnsi="Arial" w:cs="Arial"/>
          <w:lang w:val="sr-Latn-CS"/>
        </w:rPr>
        <w:t>Kvarc je u keratofirima najviše zastupljen mineral. To su</w:t>
      </w:r>
      <w:r w:rsidRPr="00BA1C52">
        <w:rPr>
          <w:rFonts w:ascii="Arial" w:hAnsi="Arial" w:cs="Arial"/>
          <w:b/>
          <w:i/>
          <w:lang w:val="sr-Latn-CS"/>
        </w:rPr>
        <w:t xml:space="preserve"> </w:t>
      </w:r>
      <w:r w:rsidRPr="00BA1C52">
        <w:rPr>
          <w:rFonts w:ascii="Arial" w:hAnsi="Arial" w:cs="Arial"/>
          <w:lang w:val="sr-Latn-CS"/>
        </w:rPr>
        <w:t>stijene masivne teksture, a ponekad su i ljubičaste i mrkocrvene boje. Porfirska struktura je jasno vidljiva, tako da se makroskopski mogu razlikovati fenokristali feldspata i bojenih minerala i osnovna masa. Vulkaniti su samo mjestimično slabije uškriljeni, silifikovani i nešto izmijenjeni.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U usjeku predmetnog puta, u naizmjeničnoj smjeni sa vulkanskim stijena, koje obično prate, javljaju se i tufovi i tufiti, ali njihovo rasprostranjenje je malo. To su trošne izrazito uškriljene i hloritisane stijene sive, tamnosive i sivozelene boje.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Lokacija je ocijenjena kao perspektivna, jer se nalazi na povoljnom terenu imajući u vidu prirodne, u prvom redu, geološke karakteristike.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 xml:space="preserve">Sa aspekta primjene tehničko-tehnoloških rješenja otvaranja ležišta i buduće eksploatacije teren je ocijenjen kao relativno nepovoljan, prvenstveno zbog morfoloških karakteristika istog, jer se radi o dosta strmim padinama i velikim visinskim razlikama unutar prostora, o čemu treba voditi računa prilikom izbora mikrolokacije za instaliranje postrojenja za obradu sirovine. 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Na predmetnom lokalitetu nijesu vršena detaljna geološka istraživanja, tako da nema podataka o rezervama mineralne sirovine.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hd w:val="clear" w:color="auto" w:fill="FFFFFF"/>
        <w:spacing w:after="0"/>
        <w:jc w:val="both"/>
        <w:rPr>
          <w:rFonts w:ascii="Arial" w:hAnsi="Arial" w:cs="Arial"/>
          <w:b/>
          <w:lang w:val="sr-Latn-CS"/>
        </w:rPr>
      </w:pPr>
      <w:r w:rsidRPr="00BA1C52">
        <w:rPr>
          <w:rFonts w:ascii="Arial" w:hAnsi="Arial" w:cs="Arial"/>
          <w:b/>
          <w:lang w:val="sr-Latn-CS"/>
        </w:rPr>
        <w:t>Procijenjene rezerve tehničko-građevinskog kamena na ovoj lokaciji, uzimajući u obzir veličinu prostora i visinsku razliku najnižih i najviših djelova prostora od oko 200 m, iznose preko 10 miliona m</w:t>
      </w:r>
      <w:r w:rsidRPr="00BA1C52">
        <w:rPr>
          <w:rFonts w:ascii="Arial" w:hAnsi="Arial" w:cs="Arial"/>
          <w:b/>
          <w:vertAlign w:val="superscript"/>
          <w:lang w:val="sr-Latn-CS"/>
        </w:rPr>
        <w:t>3</w:t>
      </w:r>
      <w:r w:rsidRPr="00BA1C52">
        <w:rPr>
          <w:rFonts w:ascii="Arial" w:hAnsi="Arial" w:cs="Arial"/>
          <w:b/>
          <w:lang w:val="sr-Latn-CS"/>
        </w:rPr>
        <w:t>.</w:t>
      </w:r>
    </w:p>
    <w:p w:rsidR="00B11064" w:rsidRPr="00BA1C52" w:rsidRDefault="00B11064" w:rsidP="00BA1C52">
      <w:pPr>
        <w:shd w:val="clear" w:color="auto" w:fill="FFFFFF"/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Prikaz geološke građe šireg područa terena obuhvaćenog prethodnom prospekcijom dat je na osnovu podataka Osnovne geološke karte Crne Gore, 1:100 000, list “Ivangrad” i tumača za predmetni list. Prikaz geološke građe je dat kroz prikaz stratigrafskih jedinica, tektonske građe terena i otkrivenih pojava mineralnih sirovina.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 xml:space="preserve">U geološkoj građi šireg područja ispitivanog terena učestvuju sedimentne i magmatske stijene mlađeg paleozoika, trijasa, gornje jure, krede-paleogena i kvartarne tvorevine. </w:t>
      </w:r>
    </w:p>
    <w:p w:rsidR="00B11064" w:rsidRPr="00BA1C52" w:rsidRDefault="00B11064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435AB2" w:rsidRPr="00BA1C52" w:rsidRDefault="00B11064" w:rsidP="00BA1C52">
      <w:pPr>
        <w:spacing w:after="0"/>
        <w:jc w:val="both"/>
        <w:rPr>
          <w:rFonts w:ascii="Arial" w:hAnsi="Arial" w:cs="Arial"/>
          <w:b/>
          <w:lang w:val="sr-Latn-CS"/>
        </w:rPr>
      </w:pPr>
      <w:r w:rsidRPr="00BA1C52">
        <w:rPr>
          <w:rFonts w:ascii="Arial" w:hAnsi="Arial" w:cs="Arial"/>
          <w:b/>
          <w:lang w:val="sr-Latn-CS"/>
        </w:rPr>
        <w:t>Na osnovu preliminarnih rezultata mineraloško-petrografskih, hemijskih i fizičko-mehaničkih ispitivanja, mineralna sirovina lokaliteta „Bistrica“ može se koristiti kao tehničko-građevinski kamen (vulkanit) i to za izradu habajućih slojeva kolovoznih konstrukcija od asfalt betona po vrućem postupku na putevima svih saobraćajnih opterećenja i autoputevima.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lang w:val="sr-Latn-CS"/>
        </w:rPr>
      </w:pPr>
      <w:r w:rsidRPr="00BA1C52">
        <w:rPr>
          <w:rFonts w:ascii="Arial" w:hAnsi="Arial" w:cs="Arial"/>
          <w:b/>
          <w:lang w:val="sr-Latn-CS"/>
        </w:rPr>
        <w:t>3   ROK TRAJANJA KONCESIJE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val="sr-Latn-CS"/>
        </w:rPr>
      </w:pPr>
      <w:r w:rsidRPr="00BA1C52">
        <w:rPr>
          <w:rFonts w:ascii="Arial" w:hAnsi="Arial" w:cs="Arial"/>
          <w:lang w:val="sr-Latn-CS"/>
        </w:rPr>
        <w:t>Rok trajanja eksploatacije mineralne sirovine (vijek eksploatacije) zavisi od utvrđenih rezervi istih, godišnjeg kapaciteta eksploatacije i od zahtjeva tržišta.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lang w:val="sr-Latn-CS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lang w:val="sr-Latn-CS"/>
        </w:rPr>
        <w:t>Na prostoru pojave tehničko-građevinskog kamena</w:t>
      </w:r>
      <w:r w:rsidR="00B11064" w:rsidRPr="00BA1C52">
        <w:rPr>
          <w:rFonts w:ascii="Arial" w:hAnsi="Arial" w:cs="Arial"/>
          <w:lang w:val="sr-Latn-CS"/>
        </w:rPr>
        <w:t xml:space="preserve"> (vulkaniti) “Bistrica</w:t>
      </w:r>
      <w:r w:rsidRPr="00BA1C52">
        <w:rPr>
          <w:rFonts w:ascii="Arial" w:hAnsi="Arial" w:cs="Arial"/>
          <w:lang w:val="sr-Latn-CS"/>
        </w:rPr>
        <w:t xml:space="preserve">” nijesu vršena detaljna geološka istraživanja. </w:t>
      </w:r>
      <w:r w:rsidRPr="00BA1C52">
        <w:rPr>
          <w:rFonts w:ascii="Arial" w:hAnsi="Arial" w:cs="Arial"/>
        </w:rPr>
        <w:t xml:space="preserve">S obzirom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navedeno, mogu se samo procijeniti pr</w:t>
      </w:r>
      <w:r w:rsidR="00B11064" w:rsidRPr="00BA1C52">
        <w:rPr>
          <w:rFonts w:ascii="Arial" w:hAnsi="Arial" w:cs="Arial"/>
        </w:rPr>
        <w:t>ognozne rezerve koje iznose preko 10 miliona</w:t>
      </w:r>
      <w:r w:rsidRPr="00BA1C52">
        <w:rPr>
          <w:rFonts w:ascii="Arial" w:hAnsi="Arial" w:cs="Arial"/>
        </w:rPr>
        <w:t xml:space="preserve">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Za optimalno poznavanje ležišta u smislu utvrđenih rezervi viših kategorija, njihovog kvaliteta, ležišnih uslova, a u vezi sa tim i mogućnost primjene i plasmana na tržište, budući Koncesinar je dužan da izvede detaljna geološka istraživanja na istražno-eskpl</w:t>
      </w:r>
      <w:r w:rsidR="00C23536" w:rsidRPr="00BA1C52">
        <w:rPr>
          <w:rFonts w:ascii="Arial" w:hAnsi="Arial" w:cs="Arial"/>
        </w:rPr>
        <w:t>oatacionom prostoru „Bistrica</w:t>
      </w:r>
      <w:r w:rsidRPr="00BA1C52">
        <w:rPr>
          <w:rFonts w:ascii="Arial" w:hAnsi="Arial" w:cs="Arial"/>
        </w:rPr>
        <w:t xml:space="preserve">“ i da rezultate sprovedenih istraživanja prikaže u Elaboratu o klasifikaciji, kategorizaciji i proračunu rezervi tehničko-građevinskog kamena </w:t>
      </w:r>
      <w:r w:rsidR="00C23536" w:rsidRPr="00BA1C52">
        <w:rPr>
          <w:rFonts w:ascii="Arial" w:hAnsi="Arial" w:cs="Arial"/>
        </w:rPr>
        <w:t>(vulkaniti) ležišta „Bistrica</w:t>
      </w:r>
      <w:r w:rsidRPr="00BA1C52">
        <w:rPr>
          <w:rFonts w:ascii="Arial" w:hAnsi="Arial" w:cs="Arial"/>
        </w:rPr>
        <w:t>“.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Geološki istražni proces (izrada i revizija Projekta detaljnih geoloških istraživanja, izvođenje istražnih radova po istom i izrada Elaborata o klasifikaciji, kategorizaciji i proračunu rezervi tehničko-građevinskog kamena </w:t>
      </w:r>
      <w:r w:rsidR="00C23536" w:rsidRPr="00BA1C52">
        <w:rPr>
          <w:rFonts w:ascii="Arial" w:hAnsi="Arial" w:cs="Arial"/>
        </w:rPr>
        <w:t xml:space="preserve">(vulkaniti) </w:t>
      </w:r>
      <w:r w:rsidRPr="00BA1C52">
        <w:rPr>
          <w:rFonts w:ascii="Arial" w:hAnsi="Arial" w:cs="Arial"/>
        </w:rPr>
        <w:t xml:space="preserve">ležišta </w:t>
      </w:r>
      <w:r w:rsidR="00C23536" w:rsidRPr="00BA1C52">
        <w:rPr>
          <w:rFonts w:ascii="Arial" w:hAnsi="Arial" w:cs="Arial"/>
        </w:rPr>
        <w:t>„Bistrica</w:t>
      </w:r>
      <w:r w:rsidRPr="00BA1C52">
        <w:rPr>
          <w:rFonts w:ascii="Arial" w:hAnsi="Arial" w:cs="Arial"/>
        </w:rPr>
        <w:t xml:space="preserve">“) budući Koncesionar </w:t>
      </w:r>
      <w:proofErr w:type="gramStart"/>
      <w:r w:rsidRPr="00BA1C52">
        <w:rPr>
          <w:rFonts w:ascii="Arial" w:hAnsi="Arial" w:cs="Arial"/>
        </w:rPr>
        <w:t>će</w:t>
      </w:r>
      <w:proofErr w:type="gramEnd"/>
      <w:r w:rsidRPr="00BA1C52">
        <w:rPr>
          <w:rFonts w:ascii="Arial" w:hAnsi="Arial" w:cs="Arial"/>
        </w:rPr>
        <w:t xml:space="preserve"> uraditi u roku od jedne godine od dana zaključenja Ugovora o koncesiji.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Kako je već naprijed navedeno,na </w:t>
      </w:r>
      <w:r w:rsidR="00C23536" w:rsidRPr="00BA1C52">
        <w:rPr>
          <w:rFonts w:ascii="Arial" w:hAnsi="Arial" w:cs="Arial"/>
        </w:rPr>
        <w:t>osnovu prognoznih rezervi od preko</w:t>
      </w:r>
      <w:r w:rsidRPr="00BA1C52">
        <w:rPr>
          <w:rFonts w:ascii="Arial" w:hAnsi="Arial" w:cs="Arial"/>
        </w:rPr>
        <w:t xml:space="preserve"> </w:t>
      </w:r>
      <w:r w:rsidR="00C23536" w:rsidRPr="00BA1C52">
        <w:rPr>
          <w:rFonts w:ascii="Arial" w:hAnsi="Arial" w:cs="Arial"/>
        </w:rPr>
        <w:t>10 miliona</w:t>
      </w:r>
      <w:r w:rsidRPr="00BA1C52">
        <w:rPr>
          <w:rFonts w:ascii="Arial" w:hAnsi="Arial" w:cs="Arial"/>
        </w:rPr>
        <w:t xml:space="preserve">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č.s.m., uz iskorišćenje od 90 %, procijenjene eksploatacione rezerv</w:t>
      </w:r>
      <w:r w:rsidR="00C23536" w:rsidRPr="00BA1C52">
        <w:rPr>
          <w:rFonts w:ascii="Arial" w:hAnsi="Arial" w:cs="Arial"/>
        </w:rPr>
        <w:t>e bi bile preko</w:t>
      </w:r>
      <w:r w:rsidRPr="00BA1C52">
        <w:rPr>
          <w:rFonts w:ascii="Arial" w:hAnsi="Arial" w:cs="Arial"/>
        </w:rPr>
        <w:t xml:space="preserve"> </w:t>
      </w:r>
      <w:r w:rsidR="00C23536" w:rsidRPr="00BA1C52">
        <w:rPr>
          <w:rFonts w:ascii="Arial" w:hAnsi="Arial" w:cs="Arial"/>
        </w:rPr>
        <w:t>9 miliona</w:t>
      </w:r>
      <w:r w:rsidRPr="00BA1C52">
        <w:rPr>
          <w:rFonts w:ascii="Arial" w:hAnsi="Arial" w:cs="Arial"/>
        </w:rPr>
        <w:t xml:space="preserve">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č.s.m. i na osnovu proizvodnje od 20.000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č.s.m. na godišnjem nivou</w:t>
      </w:r>
      <w:r w:rsidR="00C23536" w:rsidRPr="00BA1C52">
        <w:rPr>
          <w:rFonts w:ascii="Arial" w:hAnsi="Arial" w:cs="Arial"/>
        </w:rPr>
        <w:t>, ležište „Bistrica</w:t>
      </w:r>
      <w:r w:rsidRPr="00BA1C52">
        <w:rPr>
          <w:rFonts w:ascii="Arial" w:hAnsi="Arial" w:cs="Arial"/>
        </w:rPr>
        <w:t xml:space="preserve">“ imalo </w:t>
      </w:r>
      <w:r w:rsidR="00C23536" w:rsidRPr="00BA1C52">
        <w:rPr>
          <w:rFonts w:ascii="Arial" w:hAnsi="Arial" w:cs="Arial"/>
        </w:rPr>
        <w:t>bi vijek eksploatacije od oko 500</w:t>
      </w:r>
      <w:r w:rsidRPr="00BA1C52">
        <w:rPr>
          <w:rFonts w:ascii="Arial" w:hAnsi="Arial" w:cs="Arial"/>
        </w:rPr>
        <w:t xml:space="preserve"> godina.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naprijed navedenim, koncesija za detaljna geološka istraživanja i eksploataciju daje se na period od 30 godina, i to: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jedna godina za detaljna geološka istraživanja,</w:t>
      </w:r>
    </w:p>
    <w:p w:rsidR="00435AB2" w:rsidRPr="00BA1C52" w:rsidRDefault="00435AB2" w:rsidP="00BA1C52">
      <w:pPr>
        <w:pStyle w:val="ListParagraph"/>
        <w:numPr>
          <w:ilvl w:val="0"/>
          <w:numId w:val="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jedna godina za: izradu rudarske dokumentacije, pribavljanja odobrenja, saglasnosti i dozvola za izvođenje radova po istoj, pripremu ležišta za eksploataciju, instaliranje postrojenja i opreme potrebne za eksploataciju, kao i pribavljanje upotrebne dozvole za izgrađene objekte i</w:t>
      </w:r>
    </w:p>
    <w:p w:rsidR="00435AB2" w:rsidRPr="00BA1C52" w:rsidRDefault="00435AB2" w:rsidP="00BA1C52">
      <w:pPr>
        <w:pStyle w:val="ListParagraph"/>
        <w:numPr>
          <w:ilvl w:val="0"/>
          <w:numId w:val="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28 godina za eksploataciju.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C23536" w:rsidRPr="00BA1C52" w:rsidRDefault="00435AB2" w:rsidP="00BA1C52">
      <w:pPr>
        <w:spacing w:after="0"/>
        <w:jc w:val="both"/>
        <w:rPr>
          <w:rFonts w:ascii="Arial" w:eastAsia="Times New Roman" w:hAnsi="Arial" w:cs="Arial"/>
          <w:b/>
        </w:rPr>
      </w:pPr>
      <w:r w:rsidRPr="00BA1C52">
        <w:rPr>
          <w:rFonts w:ascii="Arial" w:eastAsia="Times New Roman" w:hAnsi="Arial" w:cs="Arial"/>
          <w:b/>
        </w:rPr>
        <w:t xml:space="preserve">Investitor ne može </w:t>
      </w:r>
      <w:proofErr w:type="gramStart"/>
      <w:r w:rsidRPr="00BA1C52">
        <w:rPr>
          <w:rFonts w:ascii="Arial" w:eastAsia="Times New Roman" w:hAnsi="Arial" w:cs="Arial"/>
          <w:b/>
        </w:rPr>
        <w:t>ponuditi  ukupan</w:t>
      </w:r>
      <w:proofErr w:type="gramEnd"/>
      <w:r w:rsidRPr="00BA1C52">
        <w:rPr>
          <w:rFonts w:ascii="Arial" w:eastAsia="Times New Roman" w:hAnsi="Arial" w:cs="Arial"/>
          <w:b/>
        </w:rPr>
        <w:t xml:space="preserve"> rok koncesije  koji je duži od roka utvrđenog Koncesionim aktom, jer je zakonom definisan rok trajanja koncesije od 30 godina. Investitor u ovom slučaju može ponuditi kraći rok </w:t>
      </w:r>
      <w:proofErr w:type="gramStart"/>
      <w:r w:rsidRPr="00BA1C52">
        <w:rPr>
          <w:rFonts w:ascii="Arial" w:eastAsia="Times New Roman" w:hAnsi="Arial" w:cs="Arial"/>
          <w:b/>
        </w:rPr>
        <w:t>od</w:t>
      </w:r>
      <w:proofErr w:type="gramEnd"/>
      <w:r w:rsidRPr="00BA1C52">
        <w:rPr>
          <w:rFonts w:ascii="Arial" w:eastAsia="Times New Roman" w:hAnsi="Arial" w:cs="Arial"/>
          <w:b/>
        </w:rPr>
        <w:t xml:space="preserve"> 28 godina za eksploataciju, a rok trajanja faze detaljnih geoloških istraživanja i izrade rudarske i tehničke dokumentacije i pripremnih radova se ne može mijenjati.</w:t>
      </w:r>
    </w:p>
    <w:p w:rsidR="003144E1" w:rsidRPr="00BA1C52" w:rsidRDefault="003144E1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4" w:name="_Toc402262934"/>
      <w:proofErr w:type="gramStart"/>
      <w:r w:rsidRPr="00BA1C52">
        <w:rPr>
          <w:sz w:val="22"/>
          <w:szCs w:val="22"/>
        </w:rPr>
        <w:t>4  OSNOVNI</w:t>
      </w:r>
      <w:proofErr w:type="gramEnd"/>
      <w:r w:rsidRPr="00BA1C52">
        <w:rPr>
          <w:sz w:val="22"/>
          <w:szCs w:val="22"/>
        </w:rPr>
        <w:t xml:space="preserve"> PARAMETRI ZA OCJENU EKONOMSKE OPRAVDANOSTI INVESTICIJE</w:t>
      </w:r>
      <w:bookmarkEnd w:id="4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  <w:szCs w:val="24"/>
          <w:u w:val="single"/>
        </w:rPr>
      </w:pPr>
      <w:r w:rsidRPr="00BA1C52">
        <w:rPr>
          <w:rFonts w:ascii="Arial" w:hAnsi="Arial" w:cs="Arial"/>
          <w:b/>
          <w:u w:val="single"/>
        </w:rPr>
        <w:t>Opis tehničko-tehnološkog procesa eksploatacije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 ovom poglavlju daju se osnovni parametri koji treba da posluže ponuđačima, odnosno potencijalnim investitorima pri obradi proizvodnog i ekonomskog </w:t>
      </w:r>
      <w:proofErr w:type="gramStart"/>
      <w:r w:rsidRPr="00BA1C52">
        <w:rPr>
          <w:rFonts w:ascii="Arial" w:hAnsi="Arial" w:cs="Arial"/>
        </w:rPr>
        <w:t>aspekta  ponude</w:t>
      </w:r>
      <w:proofErr w:type="gramEnd"/>
      <w:r w:rsidRPr="00BA1C52">
        <w:rPr>
          <w:rFonts w:ascii="Arial" w:hAnsi="Arial" w:cs="Arial"/>
        </w:rPr>
        <w:t xml:space="preserve"> i tehno-ekonomske ocjene opravdanosti ove investicije.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spacing w:before="0" w:after="0"/>
        <w:jc w:val="both"/>
        <w:rPr>
          <w:i w:val="0"/>
          <w:sz w:val="22"/>
          <w:szCs w:val="22"/>
          <w:u w:val="single"/>
        </w:rPr>
      </w:pPr>
      <w:bookmarkStart w:id="5" w:name="_Toc402262936"/>
      <w:proofErr w:type="gramStart"/>
      <w:r w:rsidRPr="00BA1C52">
        <w:rPr>
          <w:i w:val="0"/>
          <w:sz w:val="22"/>
          <w:szCs w:val="22"/>
          <w:u w:val="single"/>
        </w:rPr>
        <w:t>4.1  Ocjena</w:t>
      </w:r>
      <w:proofErr w:type="gramEnd"/>
      <w:r w:rsidRPr="00BA1C52">
        <w:rPr>
          <w:i w:val="0"/>
          <w:sz w:val="22"/>
          <w:szCs w:val="22"/>
          <w:u w:val="single"/>
        </w:rPr>
        <w:t xml:space="preserve"> mogućnosti korišćenja mineralne sirovine</w:t>
      </w:r>
      <w:bookmarkEnd w:id="5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U poglavlju 2.8 ovog akta date su potencijalne rezerve i kvalitet mineralne sirovine, kao i upotreba iste u građevinarstvu.</w:t>
      </w:r>
      <w:proofErr w:type="gramEnd"/>
      <w:r w:rsidRPr="00BA1C52">
        <w:rPr>
          <w:rFonts w:ascii="Arial" w:hAnsi="Arial" w:cs="Arial"/>
        </w:rPr>
        <w:t xml:space="preserve">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spacing w:before="0" w:after="0"/>
        <w:jc w:val="both"/>
        <w:rPr>
          <w:i w:val="0"/>
          <w:sz w:val="22"/>
          <w:szCs w:val="22"/>
          <w:u w:val="single"/>
        </w:rPr>
      </w:pPr>
      <w:bookmarkStart w:id="6" w:name="_Toc402262937"/>
      <w:proofErr w:type="gramStart"/>
      <w:r w:rsidRPr="00BA1C52">
        <w:rPr>
          <w:i w:val="0"/>
          <w:sz w:val="22"/>
          <w:szCs w:val="22"/>
          <w:u w:val="single"/>
        </w:rPr>
        <w:t>4.2  Proizvodni</w:t>
      </w:r>
      <w:proofErr w:type="gramEnd"/>
      <w:r w:rsidRPr="00BA1C52">
        <w:rPr>
          <w:i w:val="0"/>
          <w:sz w:val="22"/>
          <w:szCs w:val="22"/>
          <w:u w:val="single"/>
        </w:rPr>
        <w:t xml:space="preserve"> kapacitet i vijek eksploatacije</w:t>
      </w:r>
      <w:bookmarkEnd w:id="6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Potencijalne rezerve tehničko-građevinskog kamena</w:t>
      </w:r>
      <w:r w:rsidR="00C23536" w:rsidRPr="00BA1C52">
        <w:rPr>
          <w:rFonts w:ascii="Arial" w:hAnsi="Arial" w:cs="Arial"/>
        </w:rPr>
        <w:t xml:space="preserve"> (vulkaniti) </w:t>
      </w:r>
      <w:r w:rsidRPr="00BA1C52">
        <w:rPr>
          <w:rFonts w:ascii="Arial" w:hAnsi="Arial" w:cs="Arial"/>
        </w:rPr>
        <w:t xml:space="preserve"> iznose </w:t>
      </w:r>
      <w:r w:rsidR="00C23536" w:rsidRPr="00BA1C52">
        <w:rPr>
          <w:rFonts w:ascii="Arial" w:hAnsi="Arial" w:cs="Arial"/>
        </w:rPr>
        <w:t>preko 10 miliona</w:t>
      </w:r>
      <w:r w:rsidRPr="00BA1C52">
        <w:rPr>
          <w:rFonts w:ascii="Arial" w:hAnsi="Arial" w:cs="Arial"/>
        </w:rPr>
        <w:t xml:space="preserve">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>č.s.m. i koje će biti zahvaćene konturama površinskog kopa, a za predloženi period trajanja koncesije od 28 godina (za eksploataciju) proizvodni kapacitet će iznositi  do 20.000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>č.s.m. ili 30.000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agregata (svih frakcija) na godišnjem nivou (K</w:t>
      </w:r>
      <w:r w:rsidRPr="00BA1C52">
        <w:rPr>
          <w:rFonts w:ascii="Arial" w:hAnsi="Arial" w:cs="Arial"/>
          <w:vertAlign w:val="subscript"/>
        </w:rPr>
        <w:t>r</w:t>
      </w:r>
      <w:r w:rsidRPr="00BA1C52">
        <w:rPr>
          <w:rFonts w:ascii="Arial" w:hAnsi="Arial" w:cs="Arial"/>
        </w:rPr>
        <w:t xml:space="preserve">=1,50).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Za godišnji kapacitet površinskog kopa od 20.000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>č.s.m., u predviđenom periodu eksploatacije od 28 godina, potrebno je 560.000 m</w:t>
      </w:r>
      <w:r w:rsidRPr="00BA1C52">
        <w:rPr>
          <w:rFonts w:ascii="Arial" w:hAnsi="Arial" w:cs="Arial"/>
          <w:vertAlign w:val="superscript"/>
        </w:rPr>
        <w:t xml:space="preserve">3 </w:t>
      </w:r>
      <w:r w:rsidR="000F6A18" w:rsidRPr="00BA1C52">
        <w:rPr>
          <w:rFonts w:ascii="Arial" w:hAnsi="Arial" w:cs="Arial"/>
        </w:rPr>
        <w:t>č.s.m ili 5,6</w:t>
      </w:r>
      <w:r w:rsidRPr="00BA1C52">
        <w:rPr>
          <w:rFonts w:ascii="Arial" w:hAnsi="Arial" w:cs="Arial"/>
        </w:rPr>
        <w:t xml:space="preserve"> % od potencijalnih rezervi. To znači, da potencijalne rezerve daju mogućnost rada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ovom lokalitetu ne samo za predviđeni period trajanja koncesije nego i duže. Za godišnji proizvodni kapacitet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20.000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č.s.m. vijek ek</w:t>
      </w:r>
      <w:r w:rsidR="000F6A18" w:rsidRPr="00BA1C52">
        <w:rPr>
          <w:rFonts w:ascii="Arial" w:hAnsi="Arial" w:cs="Arial"/>
        </w:rPr>
        <w:t>sploatacije bi bio oko 500</w:t>
      </w:r>
      <w:r w:rsidRPr="00BA1C52">
        <w:rPr>
          <w:rFonts w:ascii="Arial" w:hAnsi="Arial" w:cs="Arial"/>
        </w:rPr>
        <w:t xml:space="preserve"> godina.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 obzirom na </w:t>
      </w:r>
      <w:proofErr w:type="gramStart"/>
      <w:r w:rsidRPr="00BA1C52">
        <w:rPr>
          <w:rFonts w:ascii="Arial" w:hAnsi="Arial" w:cs="Arial"/>
        </w:rPr>
        <w:t>potencijalne  rezerve</w:t>
      </w:r>
      <w:proofErr w:type="gramEnd"/>
      <w:r w:rsidRPr="00BA1C52">
        <w:rPr>
          <w:rFonts w:ascii="Arial" w:hAnsi="Arial" w:cs="Arial"/>
        </w:rPr>
        <w:t xml:space="preserve">, konfiguraciju terena, mogući razvoj kopa i druge povoljnosti, godišnji kapacitet se može povećati u odnosu na početni - minimalni godišnji kapacitet. </w:t>
      </w:r>
      <w:proofErr w:type="gramStart"/>
      <w:r w:rsidRPr="00BA1C52">
        <w:rPr>
          <w:rFonts w:ascii="Arial" w:hAnsi="Arial" w:cs="Arial"/>
        </w:rPr>
        <w:t>To predstavlja značajnu povoljnost za ponuđače.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spacing w:before="0" w:after="0"/>
        <w:jc w:val="both"/>
        <w:rPr>
          <w:i w:val="0"/>
          <w:sz w:val="22"/>
          <w:szCs w:val="22"/>
          <w:u w:val="single"/>
        </w:rPr>
      </w:pPr>
      <w:bookmarkStart w:id="7" w:name="_Toc402262938"/>
      <w:proofErr w:type="gramStart"/>
      <w:r w:rsidRPr="00BA1C52">
        <w:rPr>
          <w:i w:val="0"/>
          <w:sz w:val="22"/>
          <w:szCs w:val="22"/>
          <w:u w:val="single"/>
        </w:rPr>
        <w:t>4.3  Opis</w:t>
      </w:r>
      <w:proofErr w:type="gramEnd"/>
      <w:r w:rsidRPr="00BA1C52">
        <w:rPr>
          <w:i w:val="0"/>
          <w:sz w:val="22"/>
          <w:szCs w:val="22"/>
          <w:u w:val="single"/>
        </w:rPr>
        <w:t xml:space="preserve"> tehničko-tehnološkog procesa eksploatacije</w:t>
      </w:r>
      <w:bookmarkEnd w:id="7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Na ovom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ležištu  tip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površinskog kopa će biti je tipično brdski  pa omogućuje primjenu klasične tehnologije na istom, eksploatacija tehničko-građevinskog kamena  vršiće se od najvisočije etaže prema najnižoj.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Tehnološki proces rada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na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površinskom kopu sastoji se od radnih operacija: </w:t>
      </w:r>
    </w:p>
    <w:p w:rsidR="00A73264" w:rsidRPr="00BA1C52" w:rsidRDefault="00A73264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pripremni radovi, </w:t>
      </w: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bušenje, </w:t>
      </w: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miniranje, </w:t>
      </w: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utovar, </w:t>
      </w: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transport, </w:t>
      </w:r>
    </w:p>
    <w:p w:rsidR="00435AB2" w:rsidRPr="00BA1C52" w:rsidRDefault="00435AB2" w:rsidP="00BA1C52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drobljenje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i klasiranje.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Pripremni radovi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Pripremni radovi obuhvataju čišćenje i ravnanje terena, čišćenje etažnih ravni i pripremu istih za potrebe bušenja, miniranja i druge pomoćne radove.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Pripremni radovi izvodiće se</w:t>
      </w:r>
      <w:r w:rsidR="00832EAF" w:rsidRPr="00BA1C52">
        <w:rPr>
          <w:rFonts w:ascii="Arial" w:hAnsi="Arial" w:cs="Arial"/>
          <w:color w:val="auto"/>
          <w:sz w:val="22"/>
          <w:szCs w:val="22"/>
        </w:rPr>
        <w:t xml:space="preserve"> </w:t>
      </w:r>
      <w:r w:rsidRPr="00BA1C52">
        <w:rPr>
          <w:rFonts w:ascii="Arial" w:hAnsi="Arial" w:cs="Arial"/>
          <w:color w:val="auto"/>
          <w:sz w:val="22"/>
          <w:szCs w:val="22"/>
        </w:rPr>
        <w:t xml:space="preserve">buldozerom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i  bagerom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sa dubinskom korpom uz povremenu upotrebu hidrauličnog čekića.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Bušenje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>Bušenje minskih bušotina vršilo bi se sa udarno</w:t>
      </w:r>
      <w:r w:rsidR="00832EAF" w:rsidRPr="00BA1C52">
        <w:rPr>
          <w:rFonts w:ascii="Arial" w:hAnsi="Arial" w:cs="Arial"/>
          <w:color w:val="auto"/>
          <w:sz w:val="22"/>
          <w:szCs w:val="22"/>
        </w:rPr>
        <w:t>-ro</w:t>
      </w:r>
      <w:r w:rsidRPr="00BA1C52">
        <w:rPr>
          <w:rFonts w:ascii="Arial" w:hAnsi="Arial" w:cs="Arial"/>
          <w:color w:val="auto"/>
          <w:sz w:val="22"/>
          <w:szCs w:val="22"/>
        </w:rPr>
        <w:t xml:space="preserve">tacionom bušilicom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prečnika  Ø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76 mm.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Miniranje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Miniranje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krečnjaka  vršilo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bi se praškastim eksplozivom, prečnika patrone Ø 60mm.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             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      Utovar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>Utovar odminiranog krečnjaka vršio bi se bagerom kašikarom, zapremine kašike od 1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,5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m</w:t>
      </w:r>
      <w:r w:rsidRPr="00BA1C52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Pr="00BA1C52">
        <w:rPr>
          <w:rFonts w:ascii="Arial" w:hAnsi="Arial" w:cs="Arial"/>
          <w:color w:val="auto"/>
          <w:sz w:val="22"/>
          <w:szCs w:val="22"/>
        </w:rPr>
        <w:t>,a utovar gotovog proizvoda utovarivačem zapremine korpe 3m</w:t>
      </w:r>
      <w:r w:rsidRPr="00BA1C52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         </w:t>
      </w: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Transport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Transport krečnjaka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će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biti gravitacijski, a mobilno drobilično postojenje će se postavljati I raditi do odminiranog ili naguranog tehničko-građevinskog kamena.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         </w:t>
      </w:r>
      <w:r w:rsidRPr="00BA1C5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Drobljenje i klasiranje </w:t>
      </w: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35AB2" w:rsidRPr="00BA1C52" w:rsidRDefault="00435AB2" w:rsidP="00BA1C52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1C52">
        <w:rPr>
          <w:rFonts w:ascii="Arial" w:hAnsi="Arial" w:cs="Arial"/>
          <w:color w:val="auto"/>
          <w:sz w:val="22"/>
          <w:szCs w:val="22"/>
        </w:rPr>
        <w:t xml:space="preserve">Za drobljenje materijala potrebno </w:t>
      </w:r>
      <w:proofErr w:type="gramStart"/>
      <w:r w:rsidRPr="00BA1C52">
        <w:rPr>
          <w:rFonts w:ascii="Arial" w:hAnsi="Arial" w:cs="Arial"/>
          <w:color w:val="auto"/>
          <w:sz w:val="22"/>
          <w:szCs w:val="22"/>
        </w:rPr>
        <w:t>je  mobilno</w:t>
      </w:r>
      <w:proofErr w:type="gramEnd"/>
      <w:r w:rsidRPr="00BA1C52">
        <w:rPr>
          <w:rFonts w:ascii="Arial" w:hAnsi="Arial" w:cs="Arial"/>
          <w:color w:val="auto"/>
          <w:sz w:val="22"/>
          <w:szCs w:val="22"/>
        </w:rPr>
        <w:t xml:space="preserve">  postrojenje kapaciteta od 15 m</w:t>
      </w:r>
      <w:r w:rsidRPr="00BA1C52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Pr="00BA1C52">
        <w:rPr>
          <w:rFonts w:ascii="Arial" w:hAnsi="Arial" w:cs="Arial"/>
          <w:color w:val="auto"/>
          <w:sz w:val="22"/>
          <w:szCs w:val="22"/>
        </w:rPr>
        <w:t>/h, a za klasiranje mobilna sijačica isog kapacieta.</w:t>
      </w:r>
    </w:p>
    <w:p w:rsidR="00435AB2" w:rsidRPr="00BA1C52" w:rsidRDefault="00435AB2" w:rsidP="00BA1C52">
      <w:pPr>
        <w:pStyle w:val="Heading2"/>
        <w:shd w:val="clear" w:color="auto" w:fill="FFFFFF" w:themeFill="background1"/>
        <w:spacing w:before="0" w:after="0"/>
        <w:jc w:val="both"/>
        <w:rPr>
          <w:i w:val="0"/>
          <w:sz w:val="22"/>
          <w:szCs w:val="22"/>
        </w:rPr>
      </w:pPr>
      <w:bookmarkStart w:id="8" w:name="_Toc402262939"/>
      <w:proofErr w:type="gramStart"/>
      <w:r w:rsidRPr="00BA1C52">
        <w:rPr>
          <w:i w:val="0"/>
          <w:sz w:val="22"/>
          <w:szCs w:val="22"/>
        </w:rPr>
        <w:lastRenderedPageBreak/>
        <w:t>4.3.1  Snabdijevanje</w:t>
      </w:r>
      <w:proofErr w:type="gramEnd"/>
      <w:r w:rsidRPr="00BA1C52">
        <w:rPr>
          <w:i w:val="0"/>
          <w:sz w:val="22"/>
          <w:szCs w:val="22"/>
        </w:rPr>
        <w:t xml:space="preserve"> električnom energijom, gorivom, vodom i eksplozivom i eksplozivnim sredstvima</w:t>
      </w:r>
      <w:bookmarkEnd w:id="8"/>
    </w:p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Snabdijevanje električnom energijom je sa postojeće trafostani</w:t>
      </w:r>
      <w:r w:rsidR="008A190E" w:rsidRPr="00BA1C52">
        <w:rPr>
          <w:rFonts w:ascii="Arial" w:hAnsi="Arial" w:cs="Arial"/>
        </w:rPr>
        <w:t xml:space="preserve">ce, </w:t>
      </w:r>
      <w:proofErr w:type="gramStart"/>
      <w:r w:rsidR="008A190E" w:rsidRPr="00BA1C52">
        <w:rPr>
          <w:rFonts w:ascii="Arial" w:hAnsi="Arial" w:cs="Arial"/>
        </w:rPr>
        <w:t>vodom  iz</w:t>
      </w:r>
      <w:proofErr w:type="gramEnd"/>
      <w:r w:rsidR="008A190E" w:rsidRPr="00BA1C52">
        <w:rPr>
          <w:rFonts w:ascii="Arial" w:hAnsi="Arial" w:cs="Arial"/>
        </w:rPr>
        <w:t xml:space="preserve"> gradskog vodovoda</w:t>
      </w:r>
      <w:r w:rsidRPr="00BA1C52">
        <w:rPr>
          <w:rFonts w:ascii="Arial" w:hAnsi="Arial" w:cs="Arial"/>
        </w:rPr>
        <w:t>,a eksplozivom i eksplozivnim sredstvima na tržištu kod specijalizovanih firmi.</w:t>
      </w:r>
      <w:bookmarkStart w:id="9" w:name="_Toc402262940"/>
    </w:p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4.3.2  Potrebna</w:t>
      </w:r>
      <w:proofErr w:type="gramEnd"/>
      <w:r w:rsidRPr="00BA1C52">
        <w:rPr>
          <w:rFonts w:ascii="Arial" w:hAnsi="Arial" w:cs="Arial"/>
          <w:b/>
        </w:rPr>
        <w:t xml:space="preserve"> oprema i mehanizacija</w:t>
      </w:r>
      <w:bookmarkEnd w:id="9"/>
    </w:p>
    <w:p w:rsidR="00A73264" w:rsidRPr="00BA1C52" w:rsidRDefault="00A73264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</w:p>
    <w:tbl>
      <w:tblPr>
        <w:tblW w:w="0" w:type="auto"/>
        <w:tblLook w:val="04A0"/>
      </w:tblPr>
      <w:tblGrid>
        <w:gridCol w:w="1134"/>
        <w:gridCol w:w="2610"/>
        <w:gridCol w:w="1072"/>
      </w:tblGrid>
      <w:tr w:rsidR="00435AB2" w:rsidRPr="00BA1C52" w:rsidTr="00832EAF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350448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Red.broj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Količina</w:t>
            </w:r>
          </w:p>
        </w:tc>
      </w:tr>
      <w:tr w:rsidR="00435AB2" w:rsidRPr="00BA1C52" w:rsidTr="00832EAF"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Utovarivač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832EAF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Bušilica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832EAF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Drobilično postrojenje sa separacijom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832EAF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Buldozer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832EAF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Bager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832EAF"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Cistijerna za vodu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350448">
        <w:trPr>
          <w:trHeight w:val="267"/>
        </w:trPr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 xml:space="preserve">UKUPNO:                                 </w:t>
            </w:r>
            <w:r w:rsidR="00BA1C52">
              <w:rPr>
                <w:rFonts w:ascii="Arial" w:hAnsi="Arial" w:cs="Arial"/>
                <w:b/>
              </w:rPr>
              <w:t xml:space="preserve">            6                 </w:t>
            </w:r>
          </w:p>
        </w:tc>
      </w:tr>
    </w:tbl>
    <w:p w:rsidR="00832EAF" w:rsidRPr="00BA1C52" w:rsidRDefault="00832EAF" w:rsidP="00BA1C52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bookmarkStart w:id="10" w:name="_Toc402262941"/>
    </w:p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4.3.3  Objekti</w:t>
      </w:r>
      <w:bookmarkEnd w:id="10"/>
      <w:proofErr w:type="gramEnd"/>
    </w:p>
    <w:p w:rsidR="003144E1" w:rsidRPr="00BA1C52" w:rsidRDefault="003144E1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</w:p>
    <w:tbl>
      <w:tblPr>
        <w:tblW w:w="0" w:type="auto"/>
        <w:tblLook w:val="04A0"/>
      </w:tblPr>
      <w:tblGrid>
        <w:gridCol w:w="1134"/>
        <w:gridCol w:w="2610"/>
        <w:gridCol w:w="1072"/>
      </w:tblGrid>
      <w:tr w:rsidR="00435AB2" w:rsidRPr="00BA1C52" w:rsidTr="00350448">
        <w:trPr>
          <w:trHeight w:val="6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35AB2" w:rsidRPr="00BA1C52" w:rsidRDefault="00350448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Red.</w:t>
            </w:r>
            <w:r w:rsidR="00435AB2" w:rsidRPr="00BA1C52">
              <w:rPr>
                <w:rFonts w:ascii="Arial" w:hAnsi="Arial" w:cs="Arial"/>
                <w:b/>
              </w:rPr>
              <w:t>broj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Količina</w:t>
            </w:r>
          </w:p>
        </w:tc>
      </w:tr>
      <w:tr w:rsidR="00435AB2" w:rsidRPr="00BA1C52" w:rsidTr="00435AB2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Kontejner za kancelarije i magacin (40m</w:t>
            </w:r>
            <w:r w:rsidRPr="00BA1C52">
              <w:rPr>
                <w:rFonts w:ascii="Arial" w:hAnsi="Arial" w:cs="Arial"/>
                <w:vertAlign w:val="superscript"/>
              </w:rPr>
              <w:t>2</w:t>
            </w:r>
            <w:r w:rsidRPr="00BA1C52">
              <w:rPr>
                <w:rFonts w:ascii="Arial" w:hAnsi="Arial" w:cs="Arial"/>
              </w:rPr>
              <w:t>)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435AB2"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1C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10" w:type="dxa"/>
            <w:tcBorders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Kontejner-stražara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1</w:t>
            </w:r>
          </w:p>
        </w:tc>
      </w:tr>
      <w:tr w:rsidR="00435AB2" w:rsidRPr="00BA1C52" w:rsidTr="00350448">
        <w:trPr>
          <w:trHeight w:val="267"/>
        </w:trPr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after="0"/>
              <w:jc w:val="both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 xml:space="preserve">UKUPNO:                                            </w:t>
            </w:r>
            <w:r w:rsidR="00BA1C52">
              <w:rPr>
                <w:rFonts w:ascii="Arial" w:hAnsi="Arial" w:cs="Arial"/>
                <w:b/>
              </w:rPr>
              <w:t xml:space="preserve"> 2</w:t>
            </w:r>
            <w:r w:rsidR="00350448" w:rsidRPr="00BA1C52">
              <w:rPr>
                <w:rFonts w:ascii="Arial" w:hAnsi="Arial" w:cs="Arial"/>
                <w:b/>
              </w:rPr>
              <w:t xml:space="preserve">                </w:t>
            </w:r>
          </w:p>
        </w:tc>
      </w:tr>
    </w:tbl>
    <w:p w:rsidR="00832EAF" w:rsidRPr="00BA1C52" w:rsidRDefault="00832EAF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  <w:bookmarkStart w:id="11" w:name="_Toc402262942"/>
    </w:p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4.3.4  Radna</w:t>
      </w:r>
      <w:proofErr w:type="gramEnd"/>
      <w:r w:rsidRPr="00BA1C52">
        <w:rPr>
          <w:rFonts w:ascii="Arial" w:hAnsi="Arial" w:cs="Arial"/>
          <w:b/>
        </w:rPr>
        <w:t xml:space="preserve"> snaga</w:t>
      </w:r>
      <w:bookmarkEnd w:id="11"/>
    </w:p>
    <w:p w:rsidR="003144E1" w:rsidRPr="00BA1C52" w:rsidRDefault="003144E1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/>
      </w:tblPr>
      <w:tblGrid>
        <w:gridCol w:w="1099"/>
        <w:gridCol w:w="2430"/>
        <w:gridCol w:w="1452"/>
        <w:gridCol w:w="1710"/>
        <w:gridCol w:w="1158"/>
      </w:tblGrid>
      <w:tr w:rsidR="00435AB2" w:rsidRPr="00BA1C52" w:rsidTr="00435AB2"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>Naziv radnog mjesta</w:t>
            </w:r>
          </w:p>
        </w:tc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>Potrebna kvalifikacija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>Struka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>Broj izvršioca</w:t>
            </w:r>
          </w:p>
        </w:tc>
      </w:tr>
      <w:tr w:rsidR="00435AB2" w:rsidRPr="00BA1C52" w:rsidTr="00435AB2">
        <w:tc>
          <w:tcPr>
            <w:tcW w:w="10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Upravnik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VSS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Dipl.inž. rudarstva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Poslovođa</w:t>
            </w:r>
          </w:p>
        </w:tc>
        <w:tc>
          <w:tcPr>
            <w:tcW w:w="1194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SSS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Rudarski tehničar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Rukovaoc mobilnog postrojenja za preradu</w:t>
            </w:r>
          </w:p>
        </w:tc>
        <w:tc>
          <w:tcPr>
            <w:tcW w:w="1194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Rukovaoc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Rukovaoc mašinama</w:t>
            </w:r>
          </w:p>
        </w:tc>
        <w:tc>
          <w:tcPr>
            <w:tcW w:w="1194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Rukovaoc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30" w:type="dxa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194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30" w:type="dxa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Bušač I palioc mina</w:t>
            </w:r>
          </w:p>
        </w:tc>
        <w:tc>
          <w:tcPr>
            <w:tcW w:w="1194" w:type="dxa"/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35AB2" w:rsidRPr="00BA1C52" w:rsidTr="00435AB2"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30" w:type="dxa"/>
            <w:tcBorders>
              <w:bottom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Stražar</w:t>
            </w:r>
          </w:p>
        </w:tc>
        <w:tc>
          <w:tcPr>
            <w:tcW w:w="1194" w:type="dxa"/>
            <w:tcBorders>
              <w:bottom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PK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35AB2" w:rsidRPr="00BA1C52" w:rsidTr="00435AB2">
        <w:trPr>
          <w:trHeight w:val="243"/>
        </w:trPr>
        <w:tc>
          <w:tcPr>
            <w:tcW w:w="7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5AB2" w:rsidRPr="00BA1C52" w:rsidRDefault="00435AB2" w:rsidP="00BA1C52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1C52">
              <w:rPr>
                <w:rFonts w:ascii="Arial" w:hAnsi="Arial" w:cs="Arial"/>
                <w:b/>
                <w:sz w:val="22"/>
                <w:szCs w:val="22"/>
              </w:rPr>
              <w:t xml:space="preserve">UKUPNO:                                                                                         </w:t>
            </w:r>
            <w:r w:rsidR="00BA1C52">
              <w:rPr>
                <w:rFonts w:ascii="Arial" w:hAnsi="Arial" w:cs="Arial"/>
                <w:b/>
                <w:sz w:val="22"/>
                <w:szCs w:val="22"/>
              </w:rPr>
              <w:t xml:space="preserve">   12</w:t>
            </w:r>
            <w:r w:rsidRPr="00BA1C52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="00C2076D" w:rsidRPr="00BA1C52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</w:p>
        </w:tc>
      </w:tr>
    </w:tbl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Napomena:</w:t>
      </w:r>
      <w:r w:rsidRPr="00BA1C52">
        <w:rPr>
          <w:rFonts w:ascii="Arial" w:hAnsi="Arial" w:cs="Arial"/>
        </w:rPr>
        <w:t xml:space="preserve"> Zaposleni treba da ispunjavaju uslove propisane čl. 93 Zakona o rudarstvu („Sl. list CG“, br. 65/08, 74/10 i 40/11). </w:t>
      </w:r>
    </w:p>
    <w:p w:rsidR="00C2076D" w:rsidRPr="00BA1C52" w:rsidRDefault="00C2076D" w:rsidP="00BA1C52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C2076D" w:rsidRPr="00BA1C52" w:rsidRDefault="00C2076D" w:rsidP="00BA1C52">
      <w:pPr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lastRenderedPageBreak/>
        <w:t>4.3.5  Rekultivacija</w:t>
      </w:r>
      <w:proofErr w:type="gramEnd"/>
      <w:r w:rsidRPr="00BA1C52">
        <w:rPr>
          <w:rFonts w:ascii="Arial" w:hAnsi="Arial" w:cs="Arial"/>
          <w:b/>
        </w:rPr>
        <w:t xml:space="preserve"> i sanacija površina i sredstvo obezbjeđenja </w:t>
      </w:r>
    </w:p>
    <w:p w:rsidR="00C2076D" w:rsidRPr="00BA1C52" w:rsidRDefault="00C2076D" w:rsidP="00BA1C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C2076D" w:rsidRPr="00BA1C52" w:rsidRDefault="00C2076D" w:rsidP="00BA1C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 w:rsidRPr="00BA1C52">
        <w:rPr>
          <w:rFonts w:ascii="Arial" w:hAnsi="Arial" w:cs="Arial"/>
        </w:rPr>
        <w:t xml:space="preserve">Budući Koncesionar je dužan da u toku i po završetku izvođenja rudarskih radova na eksploataciji Mineralne sirovine, bez obzira na uzrok završetka izvođenja radova, izvrši sanaciju i </w:t>
      </w:r>
      <w:r w:rsidRPr="00BA1C52">
        <w:rPr>
          <w:rFonts w:ascii="Arial" w:hAnsi="Arial" w:cs="Arial"/>
          <w:color w:val="000000" w:themeColor="text1"/>
        </w:rPr>
        <w:t>rekultivaciju površina na kojima su izvođeni rudarski radovi</w:t>
      </w:r>
      <w:proofErr w:type="gramStart"/>
      <w:r w:rsidRPr="00BA1C52">
        <w:rPr>
          <w:rFonts w:ascii="Arial" w:hAnsi="Arial" w:cs="Arial"/>
          <w:color w:val="000000" w:themeColor="text1"/>
        </w:rPr>
        <w:t>,  u</w:t>
      </w:r>
      <w:proofErr w:type="gramEnd"/>
      <w:r w:rsidRPr="00BA1C52">
        <w:rPr>
          <w:rFonts w:ascii="Arial" w:hAnsi="Arial" w:cs="Arial"/>
          <w:color w:val="000000" w:themeColor="text1"/>
        </w:rPr>
        <w:t xml:space="preserve"> skladu sa zakonom.</w:t>
      </w:r>
    </w:p>
    <w:p w:rsidR="00C2076D" w:rsidRPr="00BA1C52" w:rsidRDefault="00C2076D" w:rsidP="00BA1C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:rsidR="00C2076D" w:rsidRPr="00BA1C52" w:rsidRDefault="00C2076D" w:rsidP="00BA1C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 w:rsidRPr="00BA1C52">
        <w:rPr>
          <w:rFonts w:ascii="Arial" w:hAnsi="Arial" w:cs="Arial"/>
          <w:color w:val="000000" w:themeColor="text1"/>
        </w:rPr>
        <w:t>Budući Koncesionar je dužan da, nakon što otpočne sa eksploatacijom mineralne sirovine, na zahtjev Koncedenta dostavi u skladu sa zakonom Bankarsku garanciju za rekultivaciju, plativu na prvi poziv bez prava prigovora, u formi i sadržaju kao u Prilogu 3 Ugovora, sa rokom važenja od 12 (slovima: dvanaest) mjeseci od datuma izdavanja, kao sredstvo obezbjeđenja izvršavanja obaveza rekultivacije i sanacije površina na kojima su izvođeni rudarski radovi.</w:t>
      </w:r>
    </w:p>
    <w:p w:rsidR="00435AB2" w:rsidRPr="00BA1C52" w:rsidRDefault="00C2076D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Bankarska garancija se obnavlja svake godine.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  <w:b/>
        </w:rPr>
        <w:t>5  MJERE</w:t>
      </w:r>
      <w:proofErr w:type="gramEnd"/>
      <w:r w:rsidRPr="00BA1C52">
        <w:rPr>
          <w:rFonts w:ascii="Arial" w:hAnsi="Arial" w:cs="Arial"/>
          <w:b/>
        </w:rPr>
        <w:t xml:space="preserve"> ZA ZAŠTITU ŽIVOTNE SREDINE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Detaljna geološka istraživanja u manjoj mjeri mogu imati uticaj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sredinu, dok eksploatacija i obrada mineralne sirovine, a time i tehničko-građevinskog kamena, je proces koji se, sa aspekta ekologije, smatra rizičnim.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 zakonskim propisima koji regulušu zaštitu životne sredine naglašeni su osnovni principi njene zaštite, i to: prirodnih vrijednosti zemljišta, vode i vazduha, kao i biodiverziteta (biljni i životinjski svijet).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Shodno naprijed navedenom, Koncesinar je dužan da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istražno-ekspl</w:t>
      </w:r>
      <w:r w:rsidR="000F6A18" w:rsidRPr="00BA1C52">
        <w:rPr>
          <w:rFonts w:ascii="Arial" w:hAnsi="Arial" w:cs="Arial"/>
        </w:rPr>
        <w:t>oatacionom prostoru „Bistrica</w:t>
      </w:r>
      <w:r w:rsidRPr="00BA1C52">
        <w:rPr>
          <w:rFonts w:ascii="Arial" w:hAnsi="Arial" w:cs="Arial"/>
        </w:rPr>
        <w:t>“, pri planiranju i sprovođenju investicionog zahvata, sprovode postupak prethodne procjene uticaja na životnu sredinu, u sladu sa zakonom.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Rudarska aktivnost neminovno dovodi do nepovoljnih, odnosno, negativnih uticaja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sredinu. U prvom redu, nepovoljni uticaji eksploatacije i obrade predmetne mineralne sirovine se odnose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značajniju promjenu reljefa, odnosno, značajniji uticaj na pejzaž, povećanu buku i neznatno zagađenje vazduha izduvnim gasovima i kamenom prašinom.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Shodno ovome, ekološko-tehnički uslovi treba da obezbijede zaštitu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uticaja buke, vibracija, prašine i dugih štetnih uticaja po okolinu. Ove zahtjeve Koncesionar treba imati u vidu prilikom izbora opreme i mehanizacije, odnosno, da se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proizvođača istih posjeduje garancija za ispunjavanje zakonom propisanih standarda.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Nadležni državni organ procjenjuje potrebu izrade Elaborata o procjeni uticaja zahvata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sredinu, koji se radi u skladu sa Zakonom o procjeni uticaja zahvata na životnu sredinu („Sl. list RCG“, br. 80/05 i „Sl. list CG“, br. 40/10, 73/10, 40/11 i 27/13).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 obzirom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značaj očuvanja životne sredine, Koncesionar je dužan da se pridržava svih mjera zaštite životne sredine u skladu sa zakonskim propisima.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Zakonska regulativa koja uređuje ovu djelatnost je sljedeća:</w:t>
      </w:r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Zakon o procjeni uticaja zahvata na životnu sredinu („Sl. list RCG“, br. 80/05 i „Sl. list CG“, br. 40/10, 73/10, 40/11 i 27/13);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>Zakon o zaštiti prirode („Sl. list CG“, br. 51/08, 21/09, 40/11 i 62/13);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Uredba o projektima za koje se vrši procjena uticaja na životnu sredinu („Sl. list RCG“, br. 20/07 i „Sl. list CG“, br. 47/13);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Uredba o visini naknada, načinu obračuna i plaćanja naknada zbog zagađenja životne sredine („Sl. list RCG“, br. 26/97, 09/00 i 52/00 i „Sl. list CG“, br. 33/08, 05/09, 64/09, 40/11 i 49/11);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Pravilnik o sadržaju dokumentacije koja se podnosi uz zahtjev za odlučivanje o potrebi procjene uticaja na životnu sredinu („Sl. list CG“, br. 14/07);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Pravilnik o sadržaju dokumentacije koja se podnosi uz zahtjev za određivanje obima i sadržaja Elaborata o procjeni uticaja na životnu sredinu („Sl. list CG“, br. 14/07); i</w:t>
      </w:r>
    </w:p>
    <w:p w:rsidR="008A190E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Pravilnik o sadržini Elaborata o procjeni uticaja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 („Sl. list CG“, br. 14/07).</w:t>
      </w:r>
    </w:p>
    <w:p w:rsidR="008A190E" w:rsidRPr="00BA1C52" w:rsidRDefault="008A190E" w:rsidP="00BA1C52">
      <w:pPr>
        <w:pStyle w:val="ListParagraph"/>
        <w:suppressAutoHyphens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12" w:name="_Toc402262949"/>
      <w:r w:rsidRPr="00BA1C52">
        <w:rPr>
          <w:sz w:val="22"/>
          <w:szCs w:val="22"/>
        </w:rPr>
        <w:t>6   REKULTIVACIJA ISTRAŽNO-EKSPL</w:t>
      </w:r>
      <w:r w:rsidR="000F6A18" w:rsidRPr="00BA1C52">
        <w:rPr>
          <w:sz w:val="22"/>
          <w:szCs w:val="22"/>
        </w:rPr>
        <w:t>OATACIONOG PROSTORA “BISTRICA</w:t>
      </w:r>
      <w:r w:rsidRPr="00BA1C52">
        <w:rPr>
          <w:sz w:val="22"/>
          <w:szCs w:val="22"/>
        </w:rPr>
        <w:t>”</w:t>
      </w:r>
      <w:bookmarkEnd w:id="12"/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Negativni uticaji budućih rudarskih aktivnosti </w:t>
      </w:r>
      <w:proofErr w:type="gramStart"/>
      <w:r w:rsidR="000F6A18" w:rsidRPr="00BA1C52">
        <w:rPr>
          <w:rFonts w:ascii="Arial" w:hAnsi="Arial" w:cs="Arial"/>
        </w:rPr>
        <w:t>na</w:t>
      </w:r>
      <w:proofErr w:type="gramEnd"/>
      <w:r w:rsidR="000F6A18" w:rsidRPr="00BA1C52">
        <w:rPr>
          <w:rFonts w:ascii="Arial" w:hAnsi="Arial" w:cs="Arial"/>
        </w:rPr>
        <w:t xml:space="preserve"> površinskom kopu “Bistrica</w:t>
      </w:r>
      <w:r w:rsidRPr="00BA1C52">
        <w:rPr>
          <w:rFonts w:ascii="Arial" w:hAnsi="Arial" w:cs="Arial"/>
        </w:rPr>
        <w:t>” sa kvalitativnom procjenom mogućih nepovoljnih uticaja na radnu i životnu sredinu, obrađeni su u poglavlju 4 Mjere za zaštitu životne sredine.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U ovom poglavlju se obrađuje faza rekultivacije istražno-eksploatacionog prostora.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Novi zakonski uslovi za eksploataciju zahtijevaju da se izvrši rekultivacija prostora koji </w:t>
      </w:r>
      <w:proofErr w:type="gramStart"/>
      <w:r w:rsidRPr="00BA1C52">
        <w:rPr>
          <w:rFonts w:ascii="Arial" w:hAnsi="Arial" w:cs="Arial"/>
        </w:rPr>
        <w:t>će</w:t>
      </w:r>
      <w:proofErr w:type="gramEnd"/>
      <w:r w:rsidRPr="00BA1C52">
        <w:rPr>
          <w:rFonts w:ascii="Arial" w:hAnsi="Arial" w:cs="Arial"/>
        </w:rPr>
        <w:t xml:space="preserve"> biti degradiran obavljanjem koncesione djelatnosti, a sve to u cilju poboljšanja ekoloških uslova na samom lokalitetu i neposrednoj okolini.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Ako bi se degradirane površine ostavile, nakon izvođenja radova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eksploataciji, u istom stanju, mogu se očekivati neki od sljedećih negativnih uticaja:</w:t>
      </w:r>
    </w:p>
    <w:p w:rsidR="00A73264" w:rsidRPr="00BA1C52" w:rsidRDefault="00A73264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produžavanje nepovoljnog uticaja pejzažnog izgleda terena,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pogoršavanje stanja degradiranih površina zbog pojave erozije, klizišta i sl.,</w:t>
      </w:r>
    </w:p>
    <w:p w:rsidR="00435AB2" w:rsidRPr="00BA1C52" w:rsidRDefault="00435AB2" w:rsidP="00BA1C52">
      <w:pPr>
        <w:pStyle w:val="ListParagraph"/>
        <w:numPr>
          <w:ilvl w:val="0"/>
          <w:numId w:val="4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produžavanje</w:t>
      </w:r>
      <w:proofErr w:type="gramEnd"/>
      <w:r w:rsidRPr="00BA1C52">
        <w:rPr>
          <w:rFonts w:ascii="Arial" w:hAnsi="Arial" w:cs="Arial"/>
        </w:rPr>
        <w:t xml:space="preserve"> negativnih uticaja na vazduh i okolno zemljište (podizanje prašine izazvane vjetrom, odnošenje materijala površinskim – atmosferskim vodama).</w:t>
      </w:r>
    </w:p>
    <w:p w:rsidR="003144E1" w:rsidRPr="00BA1C52" w:rsidRDefault="003144E1" w:rsidP="00BA1C52">
      <w:pPr>
        <w:pStyle w:val="ListParagraph"/>
        <w:suppressAutoHyphens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Osnovni cilj rekultivacije je da se prostoru,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kojem će biti vršena eksploatacija, da prirodna vrijednost slična ili bolja od prvobitne, što je, prema procijenjenim sadašnjim uslovima na ovom lokalitetu, sasvim moguće.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Crna Gora ima zakonske propise usaglašene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standardima Evropske unije koji tretiraju rudarsku djelatnost, a u sklopu toga i obaveze Koncesionara za pridržavanje mjera zaštite životne i radne sredine i rekultivacije degradiranog prostora (Zakon o koncesijama, Zakon o rudarstvu i propisi iz oblasti zaštite životne sredine).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Zbog velike važnosti ove </w:t>
      </w:r>
      <w:proofErr w:type="gramStart"/>
      <w:r w:rsidRPr="00BA1C52">
        <w:rPr>
          <w:rFonts w:ascii="Arial" w:hAnsi="Arial" w:cs="Arial"/>
        </w:rPr>
        <w:t>faze</w:t>
      </w:r>
      <w:proofErr w:type="gramEnd"/>
      <w:r w:rsidRPr="00BA1C52">
        <w:rPr>
          <w:rFonts w:ascii="Arial" w:hAnsi="Arial" w:cs="Arial"/>
        </w:rPr>
        <w:t xml:space="preserve"> rada, zakonskim propisima utvrđena je obaveza izrade projektnih rješenja rekultivacije, izradom Glavnog rudarskog projekta (Pravilnik o sadržaji rudarskih projekata) ili izradom posebnog tehničkog projekta rekultivacije, koji je sastavni dio Glavnog rudarskog projekta.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Projektima se daju rješenja rudarsko-tehničke i biološke rekultivacije površina degradiranih izvođenjem rudarskih radova, uz uvažavanje uslova koji su utvrđeni Elaboratom o procjeni uticaja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sredinu, vodnih uslova i sl.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8A190E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 xml:space="preserve">Projekat se mora realizovati u fazama, odnosno radovi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rekultivaciji izvoditi sukcesivno, paralelno sa razvojem kopa. To znači da je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radovima na rekultivaciji potrebno početi odmah po završetku svake etaže.</w:t>
      </w:r>
    </w:p>
    <w:p w:rsidR="008A190E" w:rsidRPr="00BA1C52" w:rsidRDefault="008A190E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sz w:val="22"/>
          <w:szCs w:val="22"/>
        </w:rPr>
      </w:pPr>
      <w:bookmarkStart w:id="13" w:name="_Toc402262950"/>
      <w:r w:rsidRPr="00BA1C52">
        <w:rPr>
          <w:sz w:val="22"/>
          <w:szCs w:val="22"/>
        </w:rPr>
        <w:t>Zaključak</w:t>
      </w:r>
      <w:bookmarkEnd w:id="13"/>
      <w:r w:rsidRPr="00BA1C52">
        <w:rPr>
          <w:sz w:val="22"/>
          <w:szCs w:val="22"/>
        </w:rPr>
        <w:t xml:space="preserve"> </w:t>
      </w:r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 skladu sa članom 71 Zakona o rudarstvu koncesionar je dužan da u toku i po završetku radova na eksploataciji predmetne mineralne sirovine, a najkasnije u roku od jedne godine od dana završetka radova, privede zemljište na eksploatacionom polju namjeni prema Projektu rekultivacije zemljišta, odnosno, da preduzme mjere zaštite životne sredine sadržane u Elaboratu o procjeni uticaja na životnu sredinu na koji je od strane organa državne uprave nadležnog za poslove zaštite životne sredine data saglasnost i mjere zaštite voda u skladu sa zakonom.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O naprijed navedenim mjerama izvještavaju se nadležno ministarstvo za rudarstvo i ministarstva nadležna za poslove poljoprivrede, vodoprivrede, zaštite životne sredine i nadležni organ lokalne uprave.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Za sanaciju i rekultivaciju, saglasno odredbi člana 73 Zakona o rudarstvu, koncesionar je dužan da od svake jedinice proizvoda mineralne sirovine mjesečno izdvaja sredstva za djelimičnu ili potpunu sanaciju zemljišta, a prema odobrenim projektima sanacije i rekultivacije.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Visina sredstava za sanaciju i rekultivaciju prostora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kojem se izvode rudarski radovi, način obračunavanja, plaćanja i korišćenja sredstava bliže je uređen Uredbom o visini sredstava za sanaciju i rekultivaciju prostora na kojem se izvodi rudarski radovi, načinu obračunavanja, plaćanja i korišćenja tih sredstava (“Sl. list CG”, br. 51/11).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r w:rsidRPr="00BA1C52">
        <w:rPr>
          <w:sz w:val="22"/>
          <w:szCs w:val="22"/>
        </w:rPr>
        <w:t xml:space="preserve"> </w:t>
      </w:r>
      <w:bookmarkStart w:id="14" w:name="_Toc402262951"/>
      <w:proofErr w:type="gramStart"/>
      <w:r w:rsidRPr="00BA1C52">
        <w:rPr>
          <w:sz w:val="22"/>
          <w:szCs w:val="22"/>
        </w:rPr>
        <w:t>7  UNAPRJEĐENJE</w:t>
      </w:r>
      <w:proofErr w:type="gramEnd"/>
      <w:r w:rsidRPr="00BA1C52">
        <w:rPr>
          <w:sz w:val="22"/>
          <w:szCs w:val="22"/>
        </w:rPr>
        <w:t xml:space="preserve"> ENERGETSKE EFIKASNOSTI</w:t>
      </w:r>
      <w:bookmarkEnd w:id="14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Radi efikasnog korišćenja energije,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odredbama Zakona o energetskoj efikasnosti (“Sl. list CG”, br. 29/10 i 40/11), koncesionar je dužan da preduzima mjere za poboljšanje energetske efikasnosti.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Koncesonar je dužan da kroz izradu tehničke i projektne dokumentacije predvidi sprovođenje mjera za poboljšanje energetske efikasnosti, odnosno, ostvarivanje uštede energije i njeno racionalno korišćenje primjenom provjerenih savremenih tehnologija, čije je korišćenje ekonomski opravdano.</w:t>
      </w:r>
      <w:proofErr w:type="gramEnd"/>
      <w:r w:rsidRPr="00BA1C52">
        <w:rPr>
          <w:rFonts w:ascii="Arial" w:hAnsi="Arial" w:cs="Arial"/>
        </w:rPr>
        <w:t xml:space="preserve">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Sprovođenje mjera energetske efikasnosti utiče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kvalitet radne i životne sredine.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color w:val="000000"/>
          <w:sz w:val="22"/>
          <w:szCs w:val="22"/>
        </w:rPr>
      </w:pPr>
      <w:bookmarkStart w:id="15" w:name="_Toc390549906"/>
      <w:bookmarkStart w:id="16" w:name="_Toc402262952"/>
      <w:r w:rsidRPr="00BA1C52">
        <w:rPr>
          <w:sz w:val="22"/>
          <w:szCs w:val="22"/>
        </w:rPr>
        <w:t xml:space="preserve">8   USLOVI KOJE JE DUŽAN DA ISPUNJAVA KONCESIONAR U POGLEDU TEHNIČKE OPREMLJENOSTI, FINANSIJSKE SPOSOBNOSTI I OSTALE REFERNCE I DOKAZE O ISPUNJAVANJU TIH USLOVA </w:t>
      </w:r>
      <w:bookmarkEnd w:id="15"/>
      <w:bookmarkEnd w:id="16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Obaveze koncesionara u pogledu ispunjavanja uslova definisanih u ovom poglavlju su sljedeće: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da, u skladu sa članom 51 stav 2 Zakona o koncesijama, u roku od 60 dana od dana zaključenja Ugovora o koncesiji, osnuje i registruje privredno društvo ili drugo pravno lice sa sjedištem u Crnoj Gori, koje će obavljati koncesionu djelatnost ili da proširi registraciju za vršenje koncesione djelatnosti;</w:t>
      </w:r>
    </w:p>
    <w:p w:rsidR="00435AB2" w:rsidRPr="00BA1C52" w:rsidRDefault="00435AB2" w:rsidP="00BA1C52">
      <w:pPr>
        <w:suppressAutoHyphens/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da obezbijedi svu potrebnu geološku i rudarsku dokumentaciju, odobrenja i saglasnosti potrebnih za zakonito izvođenje radova;</w:t>
      </w:r>
    </w:p>
    <w:p w:rsidR="00435AB2" w:rsidRPr="00BA1C52" w:rsidRDefault="00435AB2" w:rsidP="00BA1C52">
      <w:pPr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>da obezbijedi opremu i mehanizaciju saglasno verifikovanoj rudarskoj i tehničkoj dokumentaciji - oprema i mehanizacija treba da ispunjava uslove propisane pravilnicima o tehičkim normativima za izvođenje planirane vrste radova na predmetnom lokalitetu;</w:t>
      </w:r>
    </w:p>
    <w:p w:rsidR="00435AB2" w:rsidRPr="00BA1C52" w:rsidRDefault="00435AB2" w:rsidP="00BA1C52">
      <w:pPr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da obezbijedi radnu snagu saglasno ovom Koncesionom aktu i rudarskoj i tehničkoj dokumentaciji - zaposleni moraju da ispunjavaju uslove (u pogledu stepena stručne spreme, radnog iskustva, obučenosti i ovlašćenja za vršenje tih poslova) u skladu sa Zakonom o rudarstvu;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da</w:t>
      </w:r>
      <w:proofErr w:type="gramEnd"/>
      <w:r w:rsidRPr="00BA1C52">
        <w:rPr>
          <w:rFonts w:ascii="Arial" w:hAnsi="Arial" w:cs="Arial"/>
        </w:rPr>
        <w:t xml:space="preserve"> izvršava finansijski dio u pogledu obaveza utvrđenih Ugovorom o koncesiji, u smislu plaćanja koncesione naknade, dostavljanja obnovljive godišnje bankarske garancije, izdvajanja sredstava za rekultivaciju. Koncesionar mora da ostvaruje takve poslovne rezultate koji </w:t>
      </w:r>
      <w:proofErr w:type="gramStart"/>
      <w:r w:rsidRPr="00BA1C52">
        <w:rPr>
          <w:rFonts w:ascii="Arial" w:hAnsi="Arial" w:cs="Arial"/>
        </w:rPr>
        <w:t>će</w:t>
      </w:r>
      <w:proofErr w:type="gramEnd"/>
      <w:r w:rsidRPr="00BA1C52">
        <w:rPr>
          <w:rFonts w:ascii="Arial" w:hAnsi="Arial" w:cs="Arial"/>
        </w:rPr>
        <w:t xml:space="preserve"> mu omogućiti redovno poslovanje (redovno izmirivanje poreskih i drugih obaveza), a time i ispunjavanje ugovornih obaveza.</w:t>
      </w:r>
    </w:p>
    <w:p w:rsidR="00435AB2" w:rsidRPr="00BA1C52" w:rsidRDefault="00435AB2" w:rsidP="00BA1C52">
      <w:pPr>
        <w:suppressAutoHyphens/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17" w:name="_Toc402262953"/>
      <w:proofErr w:type="gramStart"/>
      <w:r w:rsidRPr="00BA1C52">
        <w:rPr>
          <w:sz w:val="22"/>
          <w:szCs w:val="22"/>
        </w:rPr>
        <w:t>9  MINIMALNI</w:t>
      </w:r>
      <w:proofErr w:type="gramEnd"/>
      <w:r w:rsidRPr="00BA1C52">
        <w:rPr>
          <w:sz w:val="22"/>
          <w:szCs w:val="22"/>
        </w:rPr>
        <w:t xml:space="preserve"> – POČETNI  IZNOS KONCESIONE NAKNADE</w:t>
      </w:r>
      <w:bookmarkEnd w:id="17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Za korišćenje prava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eksploataciju mineralne sirovine, zakonskim propisima predviđeno je plaćanje koncesione naknade.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Koncesionim aktom se utvrđuje minimalni - početni iznos koncesione naknade.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Minimalna  koncesiona</w:t>
      </w:r>
      <w:proofErr w:type="gramEnd"/>
      <w:r w:rsidRPr="00BA1C52">
        <w:rPr>
          <w:rFonts w:ascii="Arial" w:hAnsi="Arial" w:cs="Arial"/>
        </w:rPr>
        <w:t xml:space="preserve"> naknada se utvrđuje na osnovu Uredbe o kriterijumima i načinu obračuna iznosa minimalne koncesione naknade za ustupanje prava na istraživanje i eksploataciju mineralnih sirovina („Sl. list CG“, br. 37/11).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D469C6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Navedenom Uredbom je utvrđeno da se minimalna koncesiona naknada određuje za eksploataciju mineralnih sirovina, tj.</w:t>
      </w:r>
      <w:proofErr w:type="gramEnd"/>
      <w:r w:rsidRPr="00BA1C52">
        <w:rPr>
          <w:rFonts w:ascii="Arial" w:hAnsi="Arial" w:cs="Arial"/>
        </w:rPr>
        <w:t xml:space="preserve"> </w:t>
      </w:r>
      <w:proofErr w:type="gramStart"/>
      <w:r w:rsidRPr="00BA1C52">
        <w:rPr>
          <w:rFonts w:ascii="Arial" w:hAnsi="Arial" w:cs="Arial"/>
        </w:rPr>
        <w:t>za</w:t>
      </w:r>
      <w:proofErr w:type="gramEnd"/>
      <w:r w:rsidRPr="00BA1C52">
        <w:rPr>
          <w:rFonts w:ascii="Arial" w:hAnsi="Arial" w:cs="Arial"/>
        </w:rPr>
        <w:t xml:space="preserve"> period eksploatacije, a ne i za period koji je predviđen za detaljna geološka istraživanja.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18" w:name="_Toc402262954"/>
      <w:proofErr w:type="gramStart"/>
      <w:r w:rsidRPr="00BA1C52">
        <w:rPr>
          <w:i w:val="0"/>
          <w:sz w:val="22"/>
          <w:szCs w:val="22"/>
          <w:u w:val="single"/>
        </w:rPr>
        <w:t>9.1  Minimalni</w:t>
      </w:r>
      <w:proofErr w:type="gramEnd"/>
      <w:r w:rsidRPr="00BA1C52">
        <w:rPr>
          <w:i w:val="0"/>
          <w:sz w:val="22"/>
          <w:szCs w:val="22"/>
          <w:u w:val="single"/>
        </w:rPr>
        <w:t xml:space="preserve"> - početni iznos koncesione naknade za eksploataciju</w:t>
      </w:r>
      <w:bookmarkEnd w:id="18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Minimalna koncesiona naknada za eksploataciju (čl. 3 Uredbe) određuje se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osnovu sljedećih kriterijuma: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rezervi mineralne sirovine koja je predmet koncesije;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pripadnosti grupi ležišta;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kvaliteta mineralne sirovine; i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tržišne</w:t>
      </w:r>
      <w:proofErr w:type="gramEnd"/>
      <w:r w:rsidRPr="00BA1C52">
        <w:rPr>
          <w:rFonts w:ascii="Arial" w:hAnsi="Arial" w:cs="Arial"/>
        </w:rPr>
        <w:t xml:space="preserve"> cijene mineralne sirovine.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3"/>
        <w:numPr>
          <w:ilvl w:val="2"/>
          <w:numId w:val="0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9" w:name="_Toc402262955"/>
      <w:proofErr w:type="gramStart"/>
      <w:r w:rsidRPr="00BA1C52">
        <w:rPr>
          <w:rFonts w:ascii="Arial" w:hAnsi="Arial" w:cs="Arial"/>
          <w:b/>
          <w:sz w:val="22"/>
          <w:szCs w:val="22"/>
        </w:rPr>
        <w:t>9.1.1  Rezerve</w:t>
      </w:r>
      <w:proofErr w:type="gramEnd"/>
      <w:r w:rsidRPr="00BA1C52">
        <w:rPr>
          <w:rFonts w:ascii="Arial" w:hAnsi="Arial" w:cs="Arial"/>
          <w:b/>
          <w:sz w:val="22"/>
          <w:szCs w:val="22"/>
        </w:rPr>
        <w:t xml:space="preserve"> mineralne sirovine</w:t>
      </w:r>
      <w:bookmarkEnd w:id="19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Potencijalne geološke rezerve tehničko-građevinskog kamena</w:t>
      </w:r>
      <w:r w:rsidR="000F6A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 xml:space="preserve"> na istražno-eksploatacionom prosto</w:t>
      </w:r>
      <w:r w:rsidR="000F6A18" w:rsidRPr="00BA1C52">
        <w:rPr>
          <w:rFonts w:ascii="Arial" w:hAnsi="Arial" w:cs="Arial"/>
        </w:rPr>
        <w:t>ru „Bistrica</w:t>
      </w:r>
      <w:proofErr w:type="gramStart"/>
      <w:r w:rsidRPr="00BA1C52">
        <w:rPr>
          <w:rFonts w:ascii="Arial" w:hAnsi="Arial" w:cs="Arial"/>
        </w:rPr>
        <w:t>“  iznose</w:t>
      </w:r>
      <w:proofErr w:type="gramEnd"/>
      <w:r w:rsidRPr="00BA1C52">
        <w:rPr>
          <w:rFonts w:ascii="Arial" w:hAnsi="Arial" w:cs="Arial"/>
        </w:rPr>
        <w:t xml:space="preserve"> </w:t>
      </w:r>
      <w:r w:rsidR="000F6A18" w:rsidRPr="00BA1C52">
        <w:rPr>
          <w:rFonts w:ascii="Arial" w:hAnsi="Arial" w:cs="Arial"/>
        </w:rPr>
        <w:t>preko 10 miliona</w:t>
      </w:r>
      <w:r w:rsidRPr="00BA1C52">
        <w:rPr>
          <w:rFonts w:ascii="Arial" w:hAnsi="Arial" w:cs="Arial"/>
        </w:rPr>
        <w:t xml:space="preserve">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>č.s.m.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Prema minimalnom godišnjem kapacitetu </w:t>
      </w:r>
      <w:proofErr w:type="gramStart"/>
      <w:r w:rsidRPr="00BA1C52">
        <w:rPr>
          <w:rFonts w:ascii="Arial" w:hAnsi="Arial" w:cs="Arial"/>
          <w:b/>
        </w:rPr>
        <w:t>od</w:t>
      </w:r>
      <w:proofErr w:type="gramEnd"/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20.000 m</w:t>
      </w:r>
      <w:r w:rsidRPr="00BA1C52">
        <w:rPr>
          <w:rFonts w:ascii="Arial" w:hAnsi="Arial" w:cs="Arial"/>
          <w:b/>
          <w:vertAlign w:val="superscript"/>
        </w:rPr>
        <w:t xml:space="preserve">3 </w:t>
      </w:r>
      <w:r w:rsidRPr="00BA1C52">
        <w:rPr>
          <w:rFonts w:ascii="Arial" w:hAnsi="Arial" w:cs="Arial"/>
          <w:b/>
        </w:rPr>
        <w:t>č.s.m</w:t>
      </w:r>
      <w:r w:rsidRPr="00BA1C52">
        <w:rPr>
          <w:rFonts w:ascii="Arial" w:hAnsi="Arial" w:cs="Arial"/>
        </w:rPr>
        <w:t>. tehničko-građevinskog kamena</w:t>
      </w:r>
      <w:r w:rsidR="000F6A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 xml:space="preserve">, </w:t>
      </w:r>
      <w:r w:rsidRPr="00BA1C52">
        <w:rPr>
          <w:rFonts w:ascii="Arial" w:hAnsi="Arial" w:cs="Arial"/>
          <w:b/>
        </w:rPr>
        <w:t>za period od 28 godina</w:t>
      </w:r>
      <w:r w:rsidRPr="00BA1C52">
        <w:rPr>
          <w:rFonts w:ascii="Arial" w:hAnsi="Arial" w:cs="Arial"/>
        </w:rPr>
        <w:t xml:space="preserve"> (period koncesije za eksploataciju) </w:t>
      </w:r>
      <w:r w:rsidRPr="00BA1C52">
        <w:rPr>
          <w:rFonts w:ascii="Arial" w:hAnsi="Arial" w:cs="Arial"/>
          <w:b/>
        </w:rPr>
        <w:t>otkopalo bi se 560.000 m</w:t>
      </w:r>
      <w:r w:rsidRPr="00BA1C52">
        <w:rPr>
          <w:rFonts w:ascii="Arial" w:hAnsi="Arial" w:cs="Arial"/>
          <w:b/>
          <w:vertAlign w:val="superscript"/>
        </w:rPr>
        <w:t>3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č.s.m</w:t>
      </w:r>
      <w:r w:rsidRPr="00BA1C52">
        <w:rPr>
          <w:rFonts w:ascii="Arial" w:hAnsi="Arial" w:cs="Arial"/>
        </w:rPr>
        <w:t xml:space="preserve"> tehničko-građevinskog kamena</w:t>
      </w:r>
      <w:r w:rsidR="000F6A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>.</w:t>
      </w:r>
      <w:r w:rsidRPr="00BA1C52">
        <w:rPr>
          <w:rFonts w:ascii="Arial" w:hAnsi="Arial" w:cs="Arial"/>
          <w:b/>
        </w:rPr>
        <w:t xml:space="preserve"> Od 20.000 m</w:t>
      </w:r>
      <w:r w:rsidRPr="00BA1C52">
        <w:rPr>
          <w:rFonts w:ascii="Arial" w:hAnsi="Arial" w:cs="Arial"/>
          <w:b/>
          <w:vertAlign w:val="superscript"/>
        </w:rPr>
        <w:t xml:space="preserve">3 </w:t>
      </w:r>
      <w:r w:rsidRPr="00BA1C52">
        <w:rPr>
          <w:rFonts w:ascii="Arial" w:hAnsi="Arial" w:cs="Arial"/>
          <w:b/>
        </w:rPr>
        <w:t>č.s.m. na godišnjem nivou u procesu dalje obrade sirovine dobilo bi se 30.000 m</w:t>
      </w:r>
      <w:r w:rsidRPr="00BA1C52">
        <w:rPr>
          <w:rFonts w:ascii="Arial" w:hAnsi="Arial" w:cs="Arial"/>
          <w:b/>
          <w:vertAlign w:val="superscript"/>
        </w:rPr>
        <w:t>3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agregata različitih frakcija (k</w:t>
      </w:r>
      <w:r w:rsidRPr="00BA1C52">
        <w:rPr>
          <w:rFonts w:ascii="Arial" w:hAnsi="Arial" w:cs="Arial"/>
          <w:b/>
          <w:vertAlign w:val="subscript"/>
        </w:rPr>
        <w:t>r</w:t>
      </w:r>
      <w:proofErr w:type="gramStart"/>
      <w:r w:rsidRPr="00BA1C52">
        <w:rPr>
          <w:rFonts w:ascii="Arial" w:hAnsi="Arial" w:cs="Arial"/>
          <w:b/>
        </w:rPr>
        <w:t>,=</w:t>
      </w:r>
      <w:proofErr w:type="gramEnd"/>
      <w:r w:rsidRPr="00BA1C52">
        <w:rPr>
          <w:rFonts w:ascii="Arial" w:hAnsi="Arial" w:cs="Arial"/>
          <w:b/>
        </w:rPr>
        <w:t>1,5)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što bi za period od 28 godina iznosilo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840.000 m</w:t>
      </w:r>
      <w:r w:rsidRPr="00BA1C52">
        <w:rPr>
          <w:rFonts w:ascii="Arial" w:hAnsi="Arial" w:cs="Arial"/>
          <w:b/>
          <w:vertAlign w:val="superscript"/>
        </w:rPr>
        <w:t>3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tržišnog proizvoda.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3"/>
        <w:numPr>
          <w:ilvl w:val="2"/>
          <w:numId w:val="0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20" w:name="_Toc402262956"/>
      <w:proofErr w:type="gramStart"/>
      <w:r w:rsidRPr="00BA1C52">
        <w:rPr>
          <w:rFonts w:ascii="Arial" w:hAnsi="Arial" w:cs="Arial"/>
          <w:b/>
          <w:sz w:val="22"/>
          <w:szCs w:val="22"/>
        </w:rPr>
        <w:t>9.1.2  Pripadnost</w:t>
      </w:r>
      <w:proofErr w:type="gramEnd"/>
      <w:r w:rsidRPr="00BA1C52">
        <w:rPr>
          <w:rFonts w:ascii="Arial" w:hAnsi="Arial" w:cs="Arial"/>
          <w:b/>
          <w:sz w:val="22"/>
          <w:szCs w:val="22"/>
        </w:rPr>
        <w:t xml:space="preserve"> grupi ležišta</w:t>
      </w:r>
      <w:bookmarkEnd w:id="20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>Istražno-eksploatacioni prostor tehničko-građevinskog kamena</w:t>
      </w:r>
      <w:r w:rsidR="000F6A18" w:rsidRPr="00BA1C52">
        <w:rPr>
          <w:rFonts w:ascii="Arial" w:hAnsi="Arial" w:cs="Arial"/>
        </w:rPr>
        <w:t xml:space="preserve"> (vulkaniti) „Bistrica</w:t>
      </w:r>
      <w:proofErr w:type="gramStart"/>
      <w:r w:rsidRPr="00BA1C52">
        <w:rPr>
          <w:rFonts w:ascii="Arial" w:hAnsi="Arial" w:cs="Arial"/>
        </w:rPr>
        <w:t>“ ,</w:t>
      </w:r>
      <w:proofErr w:type="gramEnd"/>
      <w:r w:rsidRPr="00BA1C52">
        <w:rPr>
          <w:rFonts w:ascii="Arial" w:hAnsi="Arial" w:cs="Arial"/>
        </w:rPr>
        <w:t xml:space="preserve"> prema navedenoj Uredbi, a na osnovu postojećih karakteristika i očekivanih uslova za eksploataciju, svrstana je u treću grupu geogenih ležišta (G</w:t>
      </w:r>
      <w:r w:rsidRPr="00BA1C52">
        <w:rPr>
          <w:rFonts w:ascii="Arial" w:hAnsi="Arial" w:cs="Arial"/>
          <w:vertAlign w:val="subscript"/>
        </w:rPr>
        <w:t>3</w:t>
      </w:r>
      <w:r w:rsidRPr="00BA1C52">
        <w:rPr>
          <w:rFonts w:ascii="Arial" w:hAnsi="Arial" w:cs="Arial"/>
        </w:rPr>
        <w:t>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 tom osnovu procentni iznos za obračun minimalne - početne koncesione naknade (čl. 15 Uredbe) iznosi </w:t>
      </w:r>
      <w:r w:rsidRPr="00BA1C52">
        <w:rPr>
          <w:rFonts w:ascii="Arial" w:hAnsi="Arial" w:cs="Arial"/>
          <w:b/>
        </w:rPr>
        <w:t>7%</w:t>
      </w:r>
      <w:r w:rsidRPr="00BA1C52">
        <w:rPr>
          <w:rFonts w:ascii="Arial" w:hAnsi="Arial" w:cs="Arial"/>
        </w:rPr>
        <w:t xml:space="preserve">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tržišne vrijednosti eksploatacionih rezervi tehničko-građevinskog kamena, za koncesioni period za eksploataciju od 28 godina.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3"/>
        <w:numPr>
          <w:ilvl w:val="2"/>
          <w:numId w:val="0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21" w:name="_Toc402262957"/>
      <w:r w:rsidRPr="00BA1C52">
        <w:rPr>
          <w:rFonts w:ascii="Arial" w:hAnsi="Arial" w:cs="Arial"/>
          <w:b/>
          <w:sz w:val="22"/>
          <w:szCs w:val="22"/>
        </w:rPr>
        <w:t>9.1.3   Kvalitet mineralne sirovine</w:t>
      </w:r>
      <w:bookmarkEnd w:id="21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 predmetnom lokalitetu nijesu vršena detaljna geološka istraživanja i na osnovu analogije sa ležištima tehničko-građevinskog kamena sličnih geoloških karakteristika, </w:t>
      </w:r>
      <w:r w:rsidR="000F6A18" w:rsidRPr="00BA1C52">
        <w:rPr>
          <w:rFonts w:ascii="Arial" w:hAnsi="Arial" w:cs="Arial"/>
        </w:rPr>
        <w:t xml:space="preserve">očekuje </w:t>
      </w:r>
      <w:proofErr w:type="gramStart"/>
      <w:r w:rsidR="000F6A18" w:rsidRPr="00BA1C52">
        <w:rPr>
          <w:rFonts w:ascii="Arial" w:hAnsi="Arial" w:cs="Arial"/>
        </w:rPr>
        <w:t>se  da</w:t>
      </w:r>
      <w:proofErr w:type="gramEnd"/>
      <w:r w:rsidR="000F6A18" w:rsidRPr="00BA1C52">
        <w:rPr>
          <w:rFonts w:ascii="Arial" w:hAnsi="Arial" w:cs="Arial"/>
        </w:rPr>
        <w:t xml:space="preserve"> se mineralna sirovina </w:t>
      </w:r>
      <w:r w:rsidRPr="00BA1C52">
        <w:rPr>
          <w:rFonts w:ascii="Arial" w:hAnsi="Arial" w:cs="Arial"/>
        </w:rPr>
        <w:t xml:space="preserve"> sa ovog lokaliteta može koristiti kao tehničko-građevinski kamen.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Napomena: ovaj podatak,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članom 17 navedene Uredbe, se koristi za korekciju promjenjivog dijela naknade.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3"/>
        <w:numPr>
          <w:ilvl w:val="2"/>
          <w:numId w:val="0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22" w:name="_Toc402262958"/>
      <w:proofErr w:type="gramStart"/>
      <w:r w:rsidRPr="00BA1C52">
        <w:rPr>
          <w:rFonts w:ascii="Arial" w:hAnsi="Arial" w:cs="Arial"/>
          <w:b/>
          <w:sz w:val="22"/>
          <w:szCs w:val="22"/>
        </w:rPr>
        <w:t>9.1.4  Tržišna</w:t>
      </w:r>
      <w:proofErr w:type="gramEnd"/>
      <w:r w:rsidRPr="00BA1C52">
        <w:rPr>
          <w:rFonts w:ascii="Arial" w:hAnsi="Arial" w:cs="Arial"/>
          <w:b/>
          <w:sz w:val="22"/>
          <w:szCs w:val="22"/>
        </w:rPr>
        <w:t xml:space="preserve"> vrijednost rezervi</w:t>
      </w:r>
      <w:bookmarkEnd w:id="22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 osnovu podataka, dostavljenih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Zavoda</w:t>
      </w:r>
      <w:r w:rsidR="00B6402D">
        <w:rPr>
          <w:rFonts w:ascii="Arial" w:hAnsi="Arial" w:cs="Arial"/>
        </w:rPr>
        <w:t xml:space="preserve"> za statistiku, akt br. 01-705/2, od 01.03.2018</w:t>
      </w:r>
      <w:r w:rsidRPr="00BA1C52">
        <w:rPr>
          <w:rFonts w:ascii="Arial" w:hAnsi="Arial" w:cs="Arial"/>
        </w:rPr>
        <w:t xml:space="preserve">. </w:t>
      </w:r>
      <w:proofErr w:type="gramStart"/>
      <w:r w:rsidRPr="00BA1C52">
        <w:rPr>
          <w:rFonts w:ascii="Arial" w:hAnsi="Arial" w:cs="Arial"/>
        </w:rPr>
        <w:t>godine</w:t>
      </w:r>
      <w:proofErr w:type="gramEnd"/>
      <w:r w:rsidRPr="00BA1C52">
        <w:rPr>
          <w:rFonts w:ascii="Arial" w:hAnsi="Arial" w:cs="Arial"/>
        </w:rPr>
        <w:t xml:space="preserve">, prosječna ostvarena cijena proizvoda mineralne sirovine tehničko-građevinskog kamena u Crnoj Gori u 2015. </w:t>
      </w:r>
      <w:proofErr w:type="gramStart"/>
      <w:r w:rsidRPr="00BA1C52">
        <w:rPr>
          <w:rFonts w:ascii="Arial" w:hAnsi="Arial" w:cs="Arial"/>
        </w:rPr>
        <w:t>godini  (</w:t>
      </w:r>
      <w:proofErr w:type="gramEnd"/>
      <w:r w:rsidRPr="00BA1C52">
        <w:rPr>
          <w:rFonts w:ascii="Arial" w:hAnsi="Arial" w:cs="Arial"/>
        </w:rPr>
        <w:t xml:space="preserve">čl. 16 Uredbe) iznosi </w:t>
      </w:r>
      <w:r w:rsidR="00B6402D">
        <w:rPr>
          <w:rFonts w:ascii="Arial" w:hAnsi="Arial" w:cs="Arial"/>
          <w:b/>
        </w:rPr>
        <w:t>15,95</w:t>
      </w:r>
      <w:r w:rsidRPr="00BA1C52">
        <w:rPr>
          <w:rFonts w:ascii="Arial" w:hAnsi="Arial" w:cs="Arial"/>
          <w:b/>
        </w:rPr>
        <w:t xml:space="preserve"> €/m</w:t>
      </w:r>
      <w:r w:rsidRPr="00BA1C52">
        <w:rPr>
          <w:rFonts w:ascii="Arial" w:hAnsi="Arial" w:cs="Arial"/>
          <w:b/>
          <w:vertAlign w:val="superscript"/>
        </w:rPr>
        <w:t>3</w:t>
      </w:r>
      <w:r w:rsidRPr="00BA1C52">
        <w:rPr>
          <w:rFonts w:ascii="Arial" w:hAnsi="Arial" w:cs="Arial"/>
        </w:rPr>
        <w:t>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 osnovu usvojenih parametara, tržišna vrijednost rezervi tehničko-građevinskog kamena koje se mogu otkopati prema minimalnom godišnjem kapacitetu za 28 godina je: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VP= 560.000 m</w:t>
      </w:r>
      <w:r w:rsidRPr="00BA1C52">
        <w:rPr>
          <w:rFonts w:ascii="Arial" w:hAnsi="Arial" w:cs="Arial"/>
          <w:b/>
          <w:vertAlign w:val="superscript"/>
        </w:rPr>
        <w:t xml:space="preserve">3 </w:t>
      </w:r>
      <w:r w:rsidR="00B6402D">
        <w:rPr>
          <w:rFonts w:ascii="Arial" w:hAnsi="Arial" w:cs="Arial"/>
          <w:b/>
        </w:rPr>
        <w:t>č.s.m x 1</w:t>
      </w:r>
      <w:proofErr w:type="gramStart"/>
      <w:r w:rsidR="00B6402D">
        <w:rPr>
          <w:rFonts w:ascii="Arial" w:hAnsi="Arial" w:cs="Arial"/>
          <w:b/>
        </w:rPr>
        <w:t>,5</w:t>
      </w:r>
      <w:proofErr w:type="gramEnd"/>
      <w:r w:rsidR="00B6402D">
        <w:rPr>
          <w:rFonts w:ascii="Arial" w:hAnsi="Arial" w:cs="Arial"/>
          <w:b/>
        </w:rPr>
        <w:t xml:space="preserve"> x 15,95</w:t>
      </w:r>
      <w:r w:rsidRPr="00BA1C52">
        <w:rPr>
          <w:rFonts w:ascii="Arial" w:hAnsi="Arial" w:cs="Arial"/>
          <w:b/>
        </w:rPr>
        <w:t xml:space="preserve"> €/m</w:t>
      </w:r>
      <w:r w:rsidRPr="00BA1C52">
        <w:rPr>
          <w:rFonts w:ascii="Arial" w:hAnsi="Arial" w:cs="Arial"/>
          <w:b/>
          <w:vertAlign w:val="superscript"/>
        </w:rPr>
        <w:t xml:space="preserve">3 </w:t>
      </w:r>
      <w:r w:rsidR="00B6402D">
        <w:rPr>
          <w:rFonts w:ascii="Arial" w:hAnsi="Arial" w:cs="Arial"/>
          <w:b/>
        </w:rPr>
        <w:t>= 13.398.000,00 € ili 478.5</w:t>
      </w:r>
      <w:r w:rsidRPr="00BA1C52">
        <w:rPr>
          <w:rFonts w:ascii="Arial" w:hAnsi="Arial" w:cs="Arial"/>
          <w:b/>
        </w:rPr>
        <w:t>00,00 €/godišnje</w:t>
      </w:r>
    </w:p>
    <w:p w:rsidR="00B6402D" w:rsidRPr="00BA1C52" w:rsidRDefault="00B6402D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sz w:val="22"/>
          <w:szCs w:val="22"/>
        </w:rPr>
      </w:pPr>
      <w:bookmarkStart w:id="23" w:name="_Toc402262959"/>
      <w:r w:rsidRPr="00BA1C52">
        <w:rPr>
          <w:sz w:val="22"/>
          <w:szCs w:val="22"/>
        </w:rPr>
        <w:t>Obračun minimalne koncesione naknade</w:t>
      </w:r>
      <w:bookmarkEnd w:id="23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Minimalna koncesiona naknada za eksploataciju (čl. 18 Uredbe) obračunava se po obrascu: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MDN= VP x G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gdje</w:t>
      </w:r>
      <w:proofErr w:type="gramEnd"/>
      <w:r w:rsidRPr="00BA1C52">
        <w:rPr>
          <w:rFonts w:ascii="Arial" w:hAnsi="Arial" w:cs="Arial"/>
        </w:rPr>
        <w:t xml:space="preserve"> su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VP -</w:t>
      </w:r>
      <w:r w:rsidR="00B6402D">
        <w:rPr>
          <w:rFonts w:ascii="Arial" w:hAnsi="Arial" w:cs="Arial"/>
        </w:rPr>
        <w:t xml:space="preserve"> vrijednost proizvodnje = 13.398.0</w:t>
      </w:r>
      <w:r w:rsidRPr="00BA1C52">
        <w:rPr>
          <w:rFonts w:ascii="Arial" w:hAnsi="Arial" w:cs="Arial"/>
        </w:rPr>
        <w:t>00</w:t>
      </w:r>
      <w:proofErr w:type="gramStart"/>
      <w:r w:rsidRPr="00BA1C52">
        <w:rPr>
          <w:rFonts w:ascii="Arial" w:hAnsi="Arial" w:cs="Arial"/>
        </w:rPr>
        <w:t>,00</w:t>
      </w:r>
      <w:proofErr w:type="gramEnd"/>
      <w:r w:rsidRPr="00BA1C52">
        <w:rPr>
          <w:rFonts w:ascii="Arial" w:hAnsi="Arial" w:cs="Arial"/>
        </w:rPr>
        <w:t xml:space="preserve"> € (za 28 godina)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VP - vrije</w:t>
      </w:r>
      <w:r w:rsidR="00B6402D">
        <w:rPr>
          <w:rFonts w:ascii="Arial" w:hAnsi="Arial" w:cs="Arial"/>
        </w:rPr>
        <w:t>dnost godišnje proizvodnje = 478.5</w:t>
      </w:r>
      <w:r w:rsidRPr="00BA1C52">
        <w:rPr>
          <w:rFonts w:ascii="Arial" w:hAnsi="Arial" w:cs="Arial"/>
        </w:rPr>
        <w:t>00,00 €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G - </w:t>
      </w:r>
      <w:proofErr w:type="gramStart"/>
      <w:r w:rsidRPr="00BA1C52">
        <w:rPr>
          <w:rFonts w:ascii="Arial" w:hAnsi="Arial" w:cs="Arial"/>
        </w:rPr>
        <w:t>minimalni</w:t>
      </w:r>
      <w:proofErr w:type="gramEnd"/>
      <w:r w:rsidRPr="00BA1C52">
        <w:rPr>
          <w:rFonts w:ascii="Arial" w:hAnsi="Arial" w:cs="Arial"/>
        </w:rPr>
        <w:t xml:space="preserve"> procentni iznos (7%)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B6402D" w:rsidP="00BA1C5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MDN = 13.398.000</w:t>
      </w:r>
      <w:proofErr w:type="gramStart"/>
      <w:r>
        <w:rPr>
          <w:rFonts w:ascii="Arial" w:hAnsi="Arial" w:cs="Arial"/>
          <w:b/>
        </w:rPr>
        <w:t>,00</w:t>
      </w:r>
      <w:proofErr w:type="gramEnd"/>
      <w:r>
        <w:rPr>
          <w:rFonts w:ascii="Arial" w:hAnsi="Arial" w:cs="Arial"/>
          <w:b/>
        </w:rPr>
        <w:t xml:space="preserve"> x 0,07 =  937.860</w:t>
      </w:r>
      <w:r w:rsidR="00435AB2" w:rsidRPr="00BA1C52">
        <w:rPr>
          <w:rFonts w:ascii="Arial" w:hAnsi="Arial" w:cs="Arial"/>
          <w:b/>
        </w:rPr>
        <w:t>,00 €</w:t>
      </w:r>
      <w:r w:rsidR="00435AB2" w:rsidRPr="00BA1C52">
        <w:rPr>
          <w:rFonts w:ascii="Arial" w:hAnsi="Arial" w:cs="Arial"/>
        </w:rPr>
        <w:t xml:space="preserve"> (ukupno za 28 godina)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MDN </w:t>
      </w:r>
      <w:r w:rsidR="00B6402D">
        <w:rPr>
          <w:rFonts w:ascii="Arial" w:hAnsi="Arial" w:cs="Arial"/>
          <w:b/>
        </w:rPr>
        <w:t>= 478.500,00 x 0</w:t>
      </w:r>
      <w:proofErr w:type="gramStart"/>
      <w:r w:rsidR="00B6402D">
        <w:rPr>
          <w:rFonts w:ascii="Arial" w:hAnsi="Arial" w:cs="Arial"/>
          <w:b/>
        </w:rPr>
        <w:t>,07</w:t>
      </w:r>
      <w:proofErr w:type="gramEnd"/>
      <w:r w:rsidR="00B6402D">
        <w:rPr>
          <w:rFonts w:ascii="Arial" w:hAnsi="Arial" w:cs="Arial"/>
          <w:b/>
        </w:rPr>
        <w:t xml:space="preserve"> =  33.495</w:t>
      </w:r>
      <w:r w:rsidRPr="00BA1C52">
        <w:rPr>
          <w:rFonts w:ascii="Arial" w:hAnsi="Arial" w:cs="Arial"/>
          <w:b/>
        </w:rPr>
        <w:t>,00 €/godišnje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Koncesiona naknada (čl. 19 Uredbe) za eksploataciju sastoji se iz stalnog (SDN) (nepromjenjivog) i promjenjivog (PDN) dijela naknade.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Obračunata minimalna koncesiona </w:t>
      </w:r>
      <w:proofErr w:type="gramStart"/>
      <w:r w:rsidRPr="00BA1C52">
        <w:rPr>
          <w:rFonts w:ascii="Arial" w:hAnsi="Arial" w:cs="Arial"/>
        </w:rPr>
        <w:t>naknada  predstavlja</w:t>
      </w:r>
      <w:proofErr w:type="gramEnd"/>
      <w:r w:rsidRPr="00BA1C52">
        <w:rPr>
          <w:rFonts w:ascii="Arial" w:hAnsi="Arial" w:cs="Arial"/>
        </w:rPr>
        <w:t xml:space="preserve"> minimalni iznos stalnog (nepromjenjivog) dijela koncesione naknade: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- </w:t>
      </w:r>
      <w:r w:rsidR="00B6402D">
        <w:rPr>
          <w:rFonts w:ascii="Arial" w:hAnsi="Arial" w:cs="Arial"/>
          <w:b/>
        </w:rPr>
        <w:t xml:space="preserve">Za period </w:t>
      </w:r>
      <w:proofErr w:type="gramStart"/>
      <w:r w:rsidR="00B6402D">
        <w:rPr>
          <w:rFonts w:ascii="Arial" w:hAnsi="Arial" w:cs="Arial"/>
          <w:b/>
        </w:rPr>
        <w:t>od</w:t>
      </w:r>
      <w:proofErr w:type="gramEnd"/>
      <w:r w:rsidR="00B6402D">
        <w:rPr>
          <w:rFonts w:ascii="Arial" w:hAnsi="Arial" w:cs="Arial"/>
          <w:b/>
        </w:rPr>
        <w:t xml:space="preserve"> 28 godina SDN = 937.860</w:t>
      </w:r>
      <w:r w:rsidRPr="00BA1C52">
        <w:rPr>
          <w:rFonts w:ascii="Arial" w:hAnsi="Arial" w:cs="Arial"/>
          <w:b/>
        </w:rPr>
        <w:t>,00 €</w:t>
      </w:r>
      <w:r w:rsidRPr="00BA1C52">
        <w:rPr>
          <w:rFonts w:ascii="Arial" w:hAnsi="Arial" w:cs="Arial"/>
        </w:rPr>
        <w:t xml:space="preserve"> </w:t>
      </w:r>
    </w:p>
    <w:p w:rsidR="00C2076D" w:rsidRDefault="00B6402D" w:rsidP="00BA1C5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SDN (godišnje) = 33.495</w:t>
      </w:r>
      <w:r w:rsidR="00435AB2" w:rsidRPr="00BA1C52">
        <w:rPr>
          <w:rFonts w:ascii="Arial" w:hAnsi="Arial" w:cs="Arial"/>
          <w:b/>
        </w:rPr>
        <w:t>,00 €.</w:t>
      </w:r>
    </w:p>
    <w:p w:rsidR="00B6402D" w:rsidRPr="00BA1C52" w:rsidRDefault="00B6402D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Stalni dio koncesione naknade koji se utvrđuje Ugovorom o koncesiji, može, u zavisnosti </w:t>
      </w:r>
      <w:proofErr w:type="gramStart"/>
      <w:r w:rsidRPr="00BA1C52">
        <w:rPr>
          <w:rFonts w:ascii="Arial" w:hAnsi="Arial" w:cs="Arial"/>
          <w:b/>
        </w:rPr>
        <w:t>od</w:t>
      </w:r>
      <w:proofErr w:type="gramEnd"/>
      <w:r w:rsidRPr="00BA1C52">
        <w:rPr>
          <w:rFonts w:ascii="Arial" w:hAnsi="Arial" w:cs="Arial"/>
          <w:b/>
        </w:rPr>
        <w:t xml:space="preserve"> ponuda biti veći, a ne manji od obračunatog minimalnog iznosa.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Zainteresovani ponuđači treba svojim ponudama, a u zavisnosti </w:t>
      </w:r>
      <w:proofErr w:type="gramStart"/>
      <w:r w:rsidRPr="00BA1C52">
        <w:rPr>
          <w:rFonts w:ascii="Arial" w:hAnsi="Arial" w:cs="Arial"/>
          <w:b/>
        </w:rPr>
        <w:t>od</w:t>
      </w:r>
      <w:proofErr w:type="gramEnd"/>
      <w:r w:rsidRPr="00BA1C52">
        <w:rPr>
          <w:rFonts w:ascii="Arial" w:hAnsi="Arial" w:cs="Arial"/>
          <w:b/>
        </w:rPr>
        <w:t xml:space="preserve"> sopstvene ekonomsko-finansijske analize, da ponude godišnji obim proizvodnje i procentualni iznos za obračun koncesione naknade, koji ne mogu biti manji od elemenata na osnovu kojih je obračunat minimalni iznos naknade. Ovo predstavlja jedan </w:t>
      </w:r>
      <w:proofErr w:type="gramStart"/>
      <w:r w:rsidRPr="00BA1C52">
        <w:rPr>
          <w:rFonts w:ascii="Arial" w:hAnsi="Arial" w:cs="Arial"/>
          <w:b/>
        </w:rPr>
        <w:t>od</w:t>
      </w:r>
      <w:proofErr w:type="gramEnd"/>
      <w:r w:rsidRPr="00BA1C52">
        <w:rPr>
          <w:rFonts w:ascii="Arial" w:hAnsi="Arial" w:cs="Arial"/>
          <w:b/>
        </w:rPr>
        <w:t xml:space="preserve"> osnovnih kriterijuma za vrednovanje ponuda.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Ugovoreni godišnji iznos SDN Koncesionar plaća tokom konesionog perioda u jednakim polugodišnjim ratama do kraja juna, odnosno, decembra tekuće godine.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u w:val="single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24" w:name="_Toc402262960"/>
      <w:proofErr w:type="gramStart"/>
      <w:r w:rsidRPr="00BA1C52">
        <w:rPr>
          <w:i w:val="0"/>
          <w:sz w:val="22"/>
          <w:szCs w:val="22"/>
          <w:u w:val="single"/>
        </w:rPr>
        <w:t>9.2  Promjenjivi</w:t>
      </w:r>
      <w:proofErr w:type="gramEnd"/>
      <w:r w:rsidRPr="00BA1C52">
        <w:rPr>
          <w:i w:val="0"/>
          <w:sz w:val="22"/>
          <w:szCs w:val="22"/>
          <w:u w:val="single"/>
        </w:rPr>
        <w:t xml:space="preserve"> dio koncesione naknade (PDN)</w:t>
      </w:r>
      <w:bookmarkEnd w:id="24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Promjenjivi dio naknade obračunava se godišnje po obrascu: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PDN=VPxG</w:t>
      </w:r>
      <w:proofErr w:type="gramStart"/>
      <w:r w:rsidRPr="00BA1C52">
        <w:rPr>
          <w:rFonts w:ascii="Arial" w:hAnsi="Arial" w:cs="Arial"/>
          <w:b/>
        </w:rPr>
        <w:t>+(</w:t>
      </w:r>
      <w:proofErr w:type="gramEnd"/>
      <w:r w:rsidRPr="00BA1C52">
        <w:rPr>
          <w:rFonts w:ascii="Arial" w:hAnsi="Arial" w:cs="Arial"/>
          <w:b/>
        </w:rPr>
        <w:t>-) (VPxGxK) &gt; SDN (godišnjeg iznosa)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Gdje su: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VP - godišnja vrijednost proizvodnje obračunata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osnovu ostvarene godišnje proizvodnje mineralne sirovine I prosječne godišnje prodajne cijene proizvoda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G - </w:t>
      </w:r>
      <w:proofErr w:type="gramStart"/>
      <w:r w:rsidRPr="00BA1C52">
        <w:rPr>
          <w:rFonts w:ascii="Arial" w:hAnsi="Arial" w:cs="Arial"/>
        </w:rPr>
        <w:t>ugovoreni</w:t>
      </w:r>
      <w:proofErr w:type="gramEnd"/>
      <w:r w:rsidRPr="00BA1C52">
        <w:rPr>
          <w:rFonts w:ascii="Arial" w:hAnsi="Arial" w:cs="Arial"/>
        </w:rPr>
        <w:t xml:space="preserve"> procentualni iznos za pripadnost grupi ležišta (ne manji od 7%)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K - </w:t>
      </w:r>
      <w:proofErr w:type="gramStart"/>
      <w:r w:rsidRPr="00BA1C52">
        <w:rPr>
          <w:rFonts w:ascii="Arial" w:hAnsi="Arial" w:cs="Arial"/>
        </w:rPr>
        <w:t>vrijednost</w:t>
      </w:r>
      <w:proofErr w:type="gramEnd"/>
      <w:r w:rsidRPr="00BA1C52">
        <w:rPr>
          <w:rFonts w:ascii="Arial" w:hAnsi="Arial" w:cs="Arial"/>
        </w:rPr>
        <w:t xml:space="preserve"> korektivnih faktora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Vrijednost korektivnih faktora: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po</w:t>
      </w:r>
      <w:proofErr w:type="gramEnd"/>
      <w:r w:rsidRPr="00BA1C52">
        <w:rPr>
          <w:rFonts w:ascii="Arial" w:hAnsi="Arial" w:cs="Arial"/>
        </w:rPr>
        <w:t xml:space="preserve"> osnovu kvaliteta mineralne sirovine (obračunati iznos se uvećava za 1%)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po</w:t>
      </w:r>
      <w:proofErr w:type="gramEnd"/>
      <w:r w:rsidRPr="00BA1C52">
        <w:rPr>
          <w:rFonts w:ascii="Arial" w:hAnsi="Arial" w:cs="Arial"/>
        </w:rPr>
        <w:t xml:space="preserve"> osnovu ostvarene proizvodnje, obračunati iznos se uvećava od 0 do 3% (čl. 21 Uredbe).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Promjenjivi dio naknade, obračunava se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kraju svake godine. Uplata se vrši jedanput godišnje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osnovu Rješenja nadležnog ministarstva.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Obračun PDN se vrši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osnovu sljedeće dokumentacije: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godišnjeg tehničkog izvještaja;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izvještaja o radu i ostvarenom prihodu po osnovu ostvarene proizvodnje mineralne sirovine; i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dokaza</w:t>
      </w:r>
      <w:proofErr w:type="gramEnd"/>
      <w:r w:rsidRPr="00BA1C52">
        <w:rPr>
          <w:rFonts w:ascii="Arial" w:hAnsi="Arial" w:cs="Arial"/>
        </w:rPr>
        <w:t xml:space="preserve"> o količinama i prosječno ostvarenim prodajnim cijenama jedinice proizvoda na domaćem i stranom tržištu.</w:t>
      </w:r>
    </w:p>
    <w:p w:rsidR="00435AB2" w:rsidRPr="00BA1C52" w:rsidRDefault="00435AB2" w:rsidP="00BA1C52">
      <w:pPr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</w:p>
    <w:p w:rsidR="00620AB4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Dokumentaciju za obračun PDN podnosi koncesionar najkasnije do kraja </w:t>
      </w:r>
      <w:proofErr w:type="gramStart"/>
      <w:r w:rsidRPr="00BA1C52">
        <w:rPr>
          <w:rFonts w:ascii="Arial" w:hAnsi="Arial" w:cs="Arial"/>
        </w:rPr>
        <w:t>marta</w:t>
      </w:r>
      <w:proofErr w:type="gramEnd"/>
      <w:r w:rsidRPr="00BA1C52">
        <w:rPr>
          <w:rFonts w:ascii="Arial" w:hAnsi="Arial" w:cs="Arial"/>
        </w:rPr>
        <w:t xml:space="preserve"> tekuće, za prethodnu godini.</w:t>
      </w:r>
    </w:p>
    <w:p w:rsidR="00773AE0" w:rsidRDefault="00773AE0" w:rsidP="00BA1C52">
      <w:pPr>
        <w:spacing w:after="0"/>
        <w:jc w:val="both"/>
        <w:rPr>
          <w:rFonts w:ascii="Arial" w:hAnsi="Arial" w:cs="Arial"/>
        </w:rPr>
      </w:pPr>
    </w:p>
    <w:p w:rsidR="00773AE0" w:rsidRDefault="00773AE0" w:rsidP="00BA1C52">
      <w:pPr>
        <w:spacing w:after="0"/>
        <w:jc w:val="both"/>
        <w:rPr>
          <w:rFonts w:ascii="Arial" w:hAnsi="Arial" w:cs="Arial"/>
        </w:rPr>
      </w:pPr>
    </w:p>
    <w:p w:rsidR="00773AE0" w:rsidRDefault="00773AE0" w:rsidP="00BA1C52">
      <w:pPr>
        <w:spacing w:after="0"/>
        <w:jc w:val="both"/>
        <w:rPr>
          <w:rFonts w:ascii="Arial" w:hAnsi="Arial" w:cs="Arial"/>
        </w:rPr>
      </w:pPr>
    </w:p>
    <w:p w:rsidR="00773AE0" w:rsidRDefault="00773AE0" w:rsidP="00BA1C52">
      <w:pPr>
        <w:spacing w:after="0"/>
        <w:jc w:val="both"/>
        <w:rPr>
          <w:rFonts w:ascii="Arial" w:hAnsi="Arial" w:cs="Arial"/>
        </w:rPr>
      </w:pPr>
    </w:p>
    <w:p w:rsidR="00773AE0" w:rsidRDefault="00773AE0" w:rsidP="00BA1C52">
      <w:pPr>
        <w:spacing w:after="0"/>
        <w:jc w:val="both"/>
        <w:rPr>
          <w:rFonts w:ascii="Arial" w:hAnsi="Arial" w:cs="Arial"/>
        </w:rPr>
      </w:pPr>
    </w:p>
    <w:p w:rsidR="00773AE0" w:rsidRPr="00BA1C52" w:rsidRDefault="00773AE0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keepLines/>
        <w:widowControl w:val="0"/>
        <w:spacing w:before="0" w:after="0"/>
        <w:jc w:val="both"/>
        <w:rPr>
          <w:sz w:val="22"/>
          <w:szCs w:val="22"/>
        </w:rPr>
      </w:pPr>
      <w:bookmarkStart w:id="25" w:name="_Toc390549915"/>
      <w:proofErr w:type="gramStart"/>
      <w:r w:rsidRPr="00BA1C52">
        <w:rPr>
          <w:sz w:val="22"/>
          <w:szCs w:val="22"/>
        </w:rPr>
        <w:lastRenderedPageBreak/>
        <w:t>10  KRITERIJUMI</w:t>
      </w:r>
      <w:proofErr w:type="gramEnd"/>
      <w:r w:rsidRPr="00BA1C52">
        <w:rPr>
          <w:sz w:val="22"/>
          <w:szCs w:val="22"/>
        </w:rPr>
        <w:t xml:space="preserve"> ZA IZBOR NAJPOVOLJNIJE PONUDE</w:t>
      </w:r>
      <w:bookmarkEnd w:id="25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Kriterijumi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osnovu kojih se vrši vrednovanje ponuda su sljedeći:</w:t>
      </w:r>
    </w:p>
    <w:p w:rsidR="00406350" w:rsidRPr="00BA1C52" w:rsidRDefault="00406350" w:rsidP="00BA1C52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656"/>
        <w:gridCol w:w="7290"/>
        <w:gridCol w:w="1638"/>
      </w:tblGrid>
      <w:tr w:rsidR="00C2076D" w:rsidRPr="00BA1C52" w:rsidTr="0072468B">
        <w:trPr>
          <w:trHeight w:val="285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R.B.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K R I T E R I J U M I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Broj bodova</w:t>
            </w:r>
          </w:p>
        </w:tc>
      </w:tr>
      <w:tr w:rsidR="00C2076D" w:rsidRPr="00BA1C52" w:rsidTr="0072468B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Ponuđeni procentualni iznos za obračun koncesione naknade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40</w:t>
            </w:r>
          </w:p>
        </w:tc>
      </w:tr>
      <w:tr w:rsidR="00C2076D" w:rsidRPr="00BA1C52" w:rsidTr="0072468B">
        <w:trPr>
          <w:trHeight w:val="285"/>
        </w:trPr>
        <w:tc>
          <w:tcPr>
            <w:tcW w:w="64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9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Ponuđeni  obim godišnje rudarske proizvodnje</w:t>
            </w:r>
          </w:p>
        </w:tc>
        <w:tc>
          <w:tcPr>
            <w:tcW w:w="1638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20</w:t>
            </w:r>
          </w:p>
        </w:tc>
      </w:tr>
      <w:tr w:rsidR="00C2076D" w:rsidRPr="00BA1C52" w:rsidTr="0072468B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D74AB3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Reference ponuđača</w:t>
            </w:r>
          </w:p>
        </w:tc>
        <w:tc>
          <w:tcPr>
            <w:tcW w:w="1638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20</w:t>
            </w:r>
          </w:p>
        </w:tc>
      </w:tr>
      <w:tr w:rsidR="00C2076D" w:rsidRPr="00BA1C52" w:rsidTr="0072468B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D74AB3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Finansijski aspekt-prosječni bruto prihod u posljednje tri godine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5</w:t>
            </w:r>
          </w:p>
        </w:tc>
      </w:tr>
      <w:tr w:rsidR="00C2076D" w:rsidRPr="00BA1C52" w:rsidTr="0072468B">
        <w:trPr>
          <w:trHeight w:val="247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D74AB3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Finansijski aspekt-prosječni  profit u posljednje tri godine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5</w:t>
            </w:r>
          </w:p>
        </w:tc>
      </w:tr>
      <w:tr w:rsidR="00C2076D" w:rsidRPr="00BA1C52" w:rsidTr="0072468B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76D" w:rsidRPr="00BA1C52" w:rsidRDefault="00D74AB3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2076D" w:rsidRPr="00BA1C52" w:rsidRDefault="00C2076D" w:rsidP="00D469C6">
            <w:pPr>
              <w:spacing w:after="0"/>
              <w:jc w:val="center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</w:rPr>
              <w:t>Kvalitet poslovnog plana i efekti na zapošljavanje i ekonomski razvoj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2076D" w:rsidRPr="00BA1C52" w:rsidRDefault="00406350" w:rsidP="00D469C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1C52">
              <w:rPr>
                <w:rFonts w:ascii="Arial" w:hAnsi="Arial" w:cs="Arial"/>
                <w:b/>
              </w:rPr>
              <w:t>10</w:t>
            </w:r>
          </w:p>
        </w:tc>
      </w:tr>
      <w:tr w:rsidR="00C2076D" w:rsidRPr="00BA1C52" w:rsidTr="0072468B">
        <w:trPr>
          <w:trHeight w:val="207"/>
        </w:trPr>
        <w:tc>
          <w:tcPr>
            <w:tcW w:w="9576" w:type="dxa"/>
            <w:gridSpan w:val="3"/>
            <w:tcBorders>
              <w:top w:val="single" w:sz="12" w:space="0" w:color="auto"/>
              <w:bottom w:val="nil"/>
            </w:tcBorders>
          </w:tcPr>
          <w:p w:rsidR="00C2076D" w:rsidRPr="00BA1C52" w:rsidRDefault="00C2076D" w:rsidP="00BA1C52">
            <w:pPr>
              <w:spacing w:after="0"/>
              <w:jc w:val="both"/>
              <w:rPr>
                <w:rFonts w:ascii="Arial" w:hAnsi="Arial" w:cs="Arial"/>
              </w:rPr>
            </w:pPr>
            <w:r w:rsidRPr="00BA1C52">
              <w:rPr>
                <w:rFonts w:ascii="Arial" w:hAnsi="Arial" w:cs="Arial"/>
                <w:b/>
              </w:rPr>
              <w:t xml:space="preserve">   </w:t>
            </w:r>
          </w:p>
        </w:tc>
      </w:tr>
    </w:tbl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26" w:name="_Toc390549916"/>
      <w:bookmarkStart w:id="27" w:name="_Toc402262962"/>
      <w:r w:rsidRPr="00BA1C52">
        <w:rPr>
          <w:i w:val="0"/>
          <w:sz w:val="22"/>
          <w:szCs w:val="22"/>
          <w:u w:val="single"/>
        </w:rPr>
        <w:t>10.1 Ponuđeni procentualni iznos za obračun koncesione naknade</w:t>
      </w:r>
      <w:bookmarkEnd w:id="26"/>
      <w:bookmarkEnd w:id="27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Tačkom 9.1.2 Koncesionog akta – Pripadnost grupi ležišta</w:t>
      </w:r>
      <w:r w:rsidRPr="00BA1C52">
        <w:rPr>
          <w:rFonts w:ascii="Arial" w:hAnsi="Arial" w:cs="Arial"/>
        </w:rPr>
        <w:t>, je definisano da se ležište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Pr="00BA1C52">
        <w:rPr>
          <w:rFonts w:ascii="Arial" w:hAnsi="Arial" w:cs="Arial"/>
        </w:rPr>
        <w:t xml:space="preserve"> </w:t>
      </w:r>
      <w:r w:rsidR="000F6A18" w:rsidRPr="00BA1C52">
        <w:rPr>
          <w:rFonts w:ascii="Arial" w:hAnsi="Arial" w:cs="Arial"/>
        </w:rPr>
        <w:t>(vulkaniti) „Bistrica</w:t>
      </w:r>
      <w:r w:rsidRPr="00BA1C52">
        <w:rPr>
          <w:rFonts w:ascii="Arial" w:hAnsi="Arial" w:cs="Arial"/>
        </w:rPr>
        <w:t>“, na osnovu postojećih karakteristika i očekivanih uslova za eksploataciju, svrstava u treću grupu geogenih ležišta (G</w:t>
      </w:r>
      <w:r w:rsidRPr="00BA1C52">
        <w:rPr>
          <w:rFonts w:ascii="Arial" w:hAnsi="Arial" w:cs="Arial"/>
          <w:vertAlign w:val="subscript"/>
        </w:rPr>
        <w:t>3</w:t>
      </w:r>
      <w:r w:rsidRPr="00BA1C52">
        <w:rPr>
          <w:rFonts w:ascii="Arial" w:hAnsi="Arial" w:cs="Arial"/>
        </w:rPr>
        <w:t>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BA1C52">
        <w:rPr>
          <w:rFonts w:ascii="Arial" w:hAnsi="Arial" w:cs="Arial"/>
          <w:b/>
        </w:rPr>
        <w:t>7%</w:t>
      </w:r>
      <w:r w:rsidRPr="00BA1C52">
        <w:rPr>
          <w:rFonts w:ascii="Arial" w:hAnsi="Arial" w:cs="Arial"/>
        </w:rPr>
        <w:t xml:space="preserve"> od tržišne vrijednosti bilansnih ili eksploatacionih rezervi tehničko-građevinskog kamena</w:t>
      </w:r>
      <w:r w:rsidR="000F6A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>, odnosno, ukupnog tržišnog proizvoda, za koncesioni period za eksploataciju od 28 godina.</w:t>
      </w:r>
    </w:p>
    <w:p w:rsidR="00406350" w:rsidRPr="00BA1C52" w:rsidRDefault="00406350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Ponuđači mogu ponuditi procentni iznos tržišne vrijednosti bilansnih ili eksploatacionih rezervi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Pr="00BA1C52">
        <w:rPr>
          <w:rFonts w:ascii="Arial" w:hAnsi="Arial" w:cs="Arial"/>
        </w:rPr>
        <w:t xml:space="preserve"> koje je veći od 7%.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Ovaj kriterijum se izračunava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sljedeći način: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Kriterijum:  P % / MP% x 40,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gdje</w:t>
      </w:r>
      <w:proofErr w:type="gramEnd"/>
      <w:r w:rsidRPr="00BA1C52">
        <w:rPr>
          <w:rFonts w:ascii="Arial" w:hAnsi="Arial" w:cs="Arial"/>
        </w:rPr>
        <w:t>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P% - označava % ponuđača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MP % - označava maskimalno ponuđeni %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tenderu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40</w:t>
      </w:r>
      <w:r w:rsidRPr="00BA1C52">
        <w:rPr>
          <w:rFonts w:ascii="Arial" w:hAnsi="Arial" w:cs="Arial"/>
        </w:rPr>
        <w:t xml:space="preserve"> – </w:t>
      </w:r>
      <w:proofErr w:type="gramStart"/>
      <w:r w:rsidRPr="00BA1C52">
        <w:rPr>
          <w:rFonts w:ascii="Arial" w:hAnsi="Arial" w:cs="Arial"/>
        </w:rPr>
        <w:t>broj</w:t>
      </w:r>
      <w:proofErr w:type="gramEnd"/>
      <w:r w:rsidRPr="00BA1C52">
        <w:rPr>
          <w:rFonts w:ascii="Arial" w:hAnsi="Arial" w:cs="Arial"/>
        </w:rPr>
        <w:t xml:space="preserve"> bodova za ovaj kriterijum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28" w:name="_Toc390549917"/>
      <w:bookmarkStart w:id="29" w:name="_Toc402262963"/>
      <w:r w:rsidRPr="00BA1C52">
        <w:rPr>
          <w:i w:val="0"/>
          <w:sz w:val="22"/>
          <w:szCs w:val="22"/>
          <w:u w:val="single"/>
        </w:rPr>
        <w:t>10.2 Ponuđeni ukupni obim rudarske proizvodnje</w:t>
      </w:r>
      <w:bookmarkEnd w:id="28"/>
      <w:bookmarkEnd w:id="29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  <w:bCs/>
        </w:rPr>
        <w:t xml:space="preserve">Tačkom 9.1.1 Koncesionog akta - Rezerve mineralne sirovine, </w:t>
      </w:r>
      <w:r w:rsidRPr="00BA1C52">
        <w:rPr>
          <w:rFonts w:ascii="Arial" w:hAnsi="Arial" w:cs="Arial"/>
          <w:bCs/>
        </w:rPr>
        <w:t>je definisano da</w:t>
      </w:r>
      <w:r w:rsidRPr="00BA1C52">
        <w:rPr>
          <w:rFonts w:ascii="Arial" w:hAnsi="Arial" w:cs="Arial"/>
          <w:b/>
          <w:bCs/>
        </w:rPr>
        <w:t xml:space="preserve"> </w:t>
      </w:r>
      <w:r w:rsidRPr="00BA1C52">
        <w:rPr>
          <w:rFonts w:ascii="Arial" w:hAnsi="Arial" w:cs="Arial"/>
          <w:bCs/>
        </w:rPr>
        <w:t>potencijalne</w:t>
      </w:r>
      <w:r w:rsidRPr="00BA1C52">
        <w:rPr>
          <w:rFonts w:ascii="Arial" w:hAnsi="Arial" w:cs="Arial"/>
        </w:rPr>
        <w:t xml:space="preserve"> rezerve pojave tehničko-građevinskog  kamena</w:t>
      </w:r>
      <w:r w:rsidR="000F6A18" w:rsidRPr="00BA1C52">
        <w:rPr>
          <w:rFonts w:ascii="Arial" w:hAnsi="Arial" w:cs="Arial"/>
        </w:rPr>
        <w:t xml:space="preserve"> (vulkaniti) „Bistrica</w:t>
      </w:r>
      <w:r w:rsidRPr="00BA1C52">
        <w:rPr>
          <w:rFonts w:ascii="Arial" w:hAnsi="Arial" w:cs="Arial"/>
        </w:rPr>
        <w:t xml:space="preserve">“  iznose </w:t>
      </w:r>
      <w:r w:rsidR="000F6A18" w:rsidRPr="00BA1C52">
        <w:rPr>
          <w:rFonts w:ascii="Arial" w:hAnsi="Arial" w:cs="Arial"/>
        </w:rPr>
        <w:t>preko</w:t>
      </w:r>
      <w:r w:rsidR="000F6A18" w:rsidRPr="00BA1C52">
        <w:rPr>
          <w:rFonts w:ascii="Arial" w:hAnsi="Arial" w:cs="Arial"/>
          <w:b/>
        </w:rPr>
        <w:t xml:space="preserve"> 10 miliona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b/>
        </w:rPr>
        <w:t>m</w:t>
      </w:r>
      <w:r w:rsidRPr="00BA1C52">
        <w:rPr>
          <w:rFonts w:ascii="Arial" w:hAnsi="Arial" w:cs="Arial"/>
          <w:b/>
          <w:vertAlign w:val="superscript"/>
        </w:rPr>
        <w:t>3</w:t>
      </w:r>
      <w:r w:rsidRPr="00BA1C52">
        <w:rPr>
          <w:rFonts w:ascii="Arial" w:hAnsi="Arial" w:cs="Arial"/>
          <w:b/>
        </w:rPr>
        <w:t xml:space="preserve"> č.s.m. </w:t>
      </w:r>
      <w:r w:rsidRPr="00BA1C52">
        <w:rPr>
          <w:rFonts w:ascii="Arial" w:hAnsi="Arial" w:cs="Arial"/>
        </w:rPr>
        <w:t>Prema minimalnom godišnjem kapacitetu od 20.000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>č.s.m. tehničko-građevinskog kamena</w:t>
      </w:r>
      <w:r w:rsidR="000F6A18" w:rsidRPr="00BA1C52">
        <w:rPr>
          <w:rFonts w:ascii="Arial" w:hAnsi="Arial" w:cs="Arial"/>
        </w:rPr>
        <w:t xml:space="preserve"> (vulkaniti)</w:t>
      </w:r>
      <w:r w:rsidRPr="00BA1C52">
        <w:rPr>
          <w:rFonts w:ascii="Arial" w:hAnsi="Arial" w:cs="Arial"/>
        </w:rPr>
        <w:t>, za period od 28 godina (period koncesije za eksploataciju) otkopalo bi se 560.000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č.s.m tehničko-građevinskog kamena. Od 20.000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 xml:space="preserve">č.s.m.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godišnjem nivou u procesu dalje obrade sirovine dobilo bi se 30.000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agregata različitih frakcija, što bi za period od 28 godina iznosilo 840.000 m</w:t>
      </w:r>
      <w:r w:rsidRPr="00BA1C52">
        <w:rPr>
          <w:rFonts w:ascii="Arial" w:hAnsi="Arial" w:cs="Arial"/>
          <w:vertAlign w:val="superscript"/>
        </w:rPr>
        <w:t>3</w:t>
      </w:r>
      <w:r w:rsidRPr="00BA1C52">
        <w:rPr>
          <w:rFonts w:ascii="Arial" w:hAnsi="Arial" w:cs="Arial"/>
        </w:rPr>
        <w:t xml:space="preserve"> tržišnog proizvoda.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 xml:space="preserve">Ponuđači mogu ponuditi obim godišnje rudarske proizvodnje koji je jednak </w:t>
      </w:r>
      <w:proofErr w:type="gramStart"/>
      <w:r w:rsidRPr="00BA1C52">
        <w:rPr>
          <w:rFonts w:ascii="Arial" w:hAnsi="Arial" w:cs="Arial"/>
        </w:rPr>
        <w:t>ili</w:t>
      </w:r>
      <w:proofErr w:type="gramEnd"/>
      <w:r w:rsidRPr="00BA1C52">
        <w:rPr>
          <w:rFonts w:ascii="Arial" w:hAnsi="Arial" w:cs="Arial"/>
        </w:rPr>
        <w:t xml:space="preserve"> veći od 20.000 m</w:t>
      </w:r>
      <w:r w:rsidRPr="00BA1C52">
        <w:rPr>
          <w:rFonts w:ascii="Arial" w:hAnsi="Arial" w:cs="Arial"/>
          <w:vertAlign w:val="superscript"/>
        </w:rPr>
        <w:t xml:space="preserve">3 </w:t>
      </w:r>
      <w:r w:rsidRPr="00BA1C52">
        <w:rPr>
          <w:rFonts w:ascii="Arial" w:hAnsi="Arial" w:cs="Arial"/>
        </w:rPr>
        <w:t xml:space="preserve">č.s.m.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  <w:bookmarkStart w:id="30" w:name="_Toc390549918"/>
      <w:r w:rsidRPr="00BA1C52">
        <w:rPr>
          <w:rFonts w:ascii="Arial" w:hAnsi="Arial" w:cs="Arial"/>
          <w:bCs/>
        </w:rPr>
        <w:t xml:space="preserve">Ovaj kriterijum se izračunava </w:t>
      </w:r>
      <w:proofErr w:type="gramStart"/>
      <w:r w:rsidRPr="00BA1C52">
        <w:rPr>
          <w:rFonts w:ascii="Arial" w:hAnsi="Arial" w:cs="Arial"/>
          <w:bCs/>
        </w:rPr>
        <w:t>na</w:t>
      </w:r>
      <w:proofErr w:type="gramEnd"/>
      <w:r w:rsidRPr="00BA1C52">
        <w:rPr>
          <w:rFonts w:ascii="Arial" w:hAnsi="Arial" w:cs="Arial"/>
          <w:bCs/>
        </w:rPr>
        <w:t xml:space="preserve"> sljedeći način: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bCs/>
        </w:rPr>
      </w:pPr>
      <w:r w:rsidRPr="00BA1C52">
        <w:rPr>
          <w:rFonts w:ascii="Arial" w:hAnsi="Arial" w:cs="Arial"/>
          <w:b/>
          <w:bCs/>
        </w:rPr>
        <w:t>Kriterijum:  PGP/MPGP x 20,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  <w:proofErr w:type="gramStart"/>
      <w:r w:rsidRPr="00BA1C52">
        <w:rPr>
          <w:rFonts w:ascii="Arial" w:hAnsi="Arial" w:cs="Arial"/>
          <w:bCs/>
        </w:rPr>
        <w:t>gdje</w:t>
      </w:r>
      <w:proofErr w:type="gramEnd"/>
      <w:r w:rsidRPr="00BA1C52">
        <w:rPr>
          <w:rFonts w:ascii="Arial" w:hAnsi="Arial" w:cs="Arial"/>
          <w:bCs/>
        </w:rPr>
        <w:t>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  <w:r w:rsidRPr="00BA1C52">
        <w:rPr>
          <w:rFonts w:ascii="Arial" w:hAnsi="Arial" w:cs="Arial"/>
          <w:bCs/>
        </w:rPr>
        <w:t>PGP - označava ponuđenu godišnju proizvodnju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  <w:r w:rsidRPr="00BA1C52">
        <w:rPr>
          <w:rFonts w:ascii="Arial" w:hAnsi="Arial" w:cs="Arial"/>
          <w:bCs/>
        </w:rPr>
        <w:t xml:space="preserve">MPGP - označava maskimalno </w:t>
      </w:r>
      <w:proofErr w:type="gramStart"/>
      <w:r w:rsidRPr="00BA1C52">
        <w:rPr>
          <w:rFonts w:ascii="Arial" w:hAnsi="Arial" w:cs="Arial"/>
          <w:bCs/>
        </w:rPr>
        <w:t>ponuđenu  godišnju</w:t>
      </w:r>
      <w:proofErr w:type="gramEnd"/>
      <w:r w:rsidRPr="00BA1C52">
        <w:rPr>
          <w:rFonts w:ascii="Arial" w:hAnsi="Arial" w:cs="Arial"/>
          <w:bCs/>
        </w:rPr>
        <w:t xml:space="preserve"> proizvodnju ponuđenu  na tenderu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Cs/>
        </w:rPr>
      </w:pPr>
      <w:r w:rsidRPr="00BA1C52">
        <w:rPr>
          <w:rFonts w:ascii="Arial" w:hAnsi="Arial" w:cs="Arial"/>
          <w:b/>
          <w:bCs/>
        </w:rPr>
        <w:t>20</w:t>
      </w:r>
      <w:r w:rsidRPr="00BA1C52">
        <w:rPr>
          <w:rFonts w:ascii="Arial" w:hAnsi="Arial" w:cs="Arial"/>
          <w:bCs/>
        </w:rPr>
        <w:t xml:space="preserve"> – </w:t>
      </w:r>
      <w:proofErr w:type="gramStart"/>
      <w:r w:rsidRPr="00BA1C52">
        <w:rPr>
          <w:rFonts w:ascii="Arial" w:hAnsi="Arial" w:cs="Arial"/>
          <w:bCs/>
        </w:rPr>
        <w:t>broj</w:t>
      </w:r>
      <w:proofErr w:type="gramEnd"/>
      <w:r w:rsidRPr="00BA1C52">
        <w:rPr>
          <w:rFonts w:ascii="Arial" w:hAnsi="Arial" w:cs="Arial"/>
          <w:bCs/>
        </w:rPr>
        <w:t xml:space="preserve"> bodova za ovaj kriterijum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406350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31" w:name="_Toc401751594"/>
      <w:bookmarkStart w:id="32" w:name="_Toc401849820"/>
      <w:bookmarkStart w:id="33" w:name="_Toc402262965"/>
      <w:bookmarkEnd w:id="30"/>
      <w:proofErr w:type="gramStart"/>
      <w:r w:rsidRPr="00BA1C52">
        <w:rPr>
          <w:i w:val="0"/>
          <w:sz w:val="22"/>
          <w:szCs w:val="22"/>
          <w:u w:val="single"/>
        </w:rPr>
        <w:t>10.3</w:t>
      </w:r>
      <w:r w:rsidR="00350448" w:rsidRPr="00BA1C52">
        <w:rPr>
          <w:i w:val="0"/>
          <w:sz w:val="22"/>
          <w:szCs w:val="22"/>
          <w:u w:val="single"/>
        </w:rPr>
        <w:t xml:space="preserve">  Reference</w:t>
      </w:r>
      <w:proofErr w:type="gramEnd"/>
      <w:r w:rsidR="00350448" w:rsidRPr="00BA1C52">
        <w:rPr>
          <w:i w:val="0"/>
          <w:sz w:val="22"/>
          <w:szCs w:val="22"/>
          <w:u w:val="single"/>
        </w:rPr>
        <w:t xml:space="preserve"> ponuđača </w:t>
      </w:r>
      <w:bookmarkEnd w:id="31"/>
      <w:bookmarkEnd w:id="32"/>
      <w:bookmarkEnd w:id="33"/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Ponuđač je dužan da dokaže postojanje iskustva u eksploataciji čvrstih mineralnih sirovina, poštovanje izvršavanja koncesionih ugovornih obaveza, stepen realizacije koncesije, plasmana proizvoda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tržište, kao i da u skladu sa parametrima iz Koncesionog akta dokaže svoju tehničku i tehnološku opremljenost za vršenje koncesione djelatnosti eksploatacije mineralnih sirovina.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Najveći broj bodova po ovom kriterijumu </w:t>
      </w:r>
      <w:proofErr w:type="gramStart"/>
      <w:r w:rsidRPr="00BA1C52">
        <w:rPr>
          <w:rFonts w:ascii="Arial" w:hAnsi="Arial" w:cs="Arial"/>
        </w:rPr>
        <w:t>će</w:t>
      </w:r>
      <w:proofErr w:type="gramEnd"/>
      <w:r w:rsidRPr="00BA1C52">
        <w:rPr>
          <w:rFonts w:ascii="Arial" w:hAnsi="Arial" w:cs="Arial"/>
        </w:rPr>
        <w:t xml:space="preserve"> se dati ponuđači koji najbolje dokumentuje i dokaže prethodno opisane uslove.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406350" w:rsidP="00BA1C52">
      <w:pPr>
        <w:pStyle w:val="Heading2"/>
        <w:numPr>
          <w:ilvl w:val="1"/>
          <w:numId w:val="0"/>
        </w:numPr>
        <w:suppressAutoHyphens w:val="0"/>
        <w:spacing w:before="0" w:after="0"/>
        <w:jc w:val="both"/>
        <w:rPr>
          <w:rFonts w:eastAsia="Calibri"/>
          <w:i w:val="0"/>
          <w:sz w:val="22"/>
          <w:szCs w:val="22"/>
          <w:u w:val="single"/>
        </w:rPr>
      </w:pPr>
      <w:proofErr w:type="gramStart"/>
      <w:r w:rsidRPr="00BA1C52">
        <w:rPr>
          <w:rFonts w:eastAsia="Calibri"/>
          <w:i w:val="0"/>
          <w:sz w:val="22"/>
          <w:szCs w:val="22"/>
          <w:u w:val="single"/>
        </w:rPr>
        <w:t>10.4</w:t>
      </w:r>
      <w:r w:rsidR="00350448" w:rsidRPr="00BA1C52">
        <w:rPr>
          <w:rFonts w:eastAsia="Calibri"/>
          <w:i w:val="0"/>
          <w:sz w:val="22"/>
          <w:szCs w:val="22"/>
          <w:u w:val="single"/>
        </w:rPr>
        <w:t xml:space="preserve">  Finansijski</w:t>
      </w:r>
      <w:proofErr w:type="gramEnd"/>
      <w:r w:rsidR="00350448" w:rsidRPr="00BA1C52">
        <w:rPr>
          <w:rFonts w:eastAsia="Calibri"/>
          <w:i w:val="0"/>
          <w:sz w:val="22"/>
          <w:szCs w:val="22"/>
          <w:u w:val="single"/>
        </w:rPr>
        <w:t xml:space="preserve"> aspekt-Prosječni bruto prihod ponuđača u posljednje tri godine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Ovaj kriterijum se izračunava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sljedeći način: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Kriterijum:  PBP / MBP x 5,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gdje</w:t>
      </w:r>
      <w:proofErr w:type="gramEnd"/>
      <w:r w:rsidRPr="00BA1C52">
        <w:rPr>
          <w:rFonts w:ascii="Arial" w:hAnsi="Arial" w:cs="Arial"/>
        </w:rPr>
        <w:t>: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 xml:space="preserve">PBP – </w:t>
      </w:r>
      <w:r w:rsidRPr="00BA1C52">
        <w:rPr>
          <w:rFonts w:ascii="Arial" w:hAnsi="Arial" w:cs="Arial"/>
        </w:rPr>
        <w:t>označava prosječni bruto prihod ponuđača za posljednje tri godine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MBP –</w:t>
      </w:r>
      <w:r w:rsidRPr="00BA1C52">
        <w:rPr>
          <w:rFonts w:ascii="Arial" w:hAnsi="Arial" w:cs="Arial"/>
        </w:rPr>
        <w:t xml:space="preserve"> označava maksimalni prosječni bruto prihod za posljednje tri godine ponuđen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tenderu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5 –</w:t>
      </w:r>
      <w:r w:rsidRPr="00BA1C52">
        <w:rPr>
          <w:rFonts w:ascii="Arial" w:hAnsi="Arial" w:cs="Arial"/>
        </w:rPr>
        <w:t xml:space="preserve"> </w:t>
      </w:r>
      <w:proofErr w:type="gramStart"/>
      <w:r w:rsidRPr="00BA1C52">
        <w:rPr>
          <w:rFonts w:ascii="Arial" w:hAnsi="Arial" w:cs="Arial"/>
        </w:rPr>
        <w:t>označava</w:t>
      </w:r>
      <w:proofErr w:type="gramEnd"/>
      <w:r w:rsidRPr="00BA1C52">
        <w:rPr>
          <w:rFonts w:ascii="Arial" w:hAnsi="Arial" w:cs="Arial"/>
        </w:rPr>
        <w:t xml:space="preserve"> broj bodova po ovom kriterijumu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6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406350" w:rsidP="00BA1C52">
      <w:pPr>
        <w:pStyle w:val="Heading2"/>
        <w:numPr>
          <w:ilvl w:val="1"/>
          <w:numId w:val="0"/>
        </w:numPr>
        <w:suppressAutoHyphens w:val="0"/>
        <w:spacing w:before="0" w:after="0"/>
        <w:jc w:val="both"/>
        <w:rPr>
          <w:rFonts w:eastAsia="Calibri"/>
          <w:i w:val="0"/>
          <w:sz w:val="22"/>
          <w:szCs w:val="22"/>
          <w:u w:val="single"/>
        </w:rPr>
      </w:pPr>
      <w:r w:rsidRPr="00BA1C52">
        <w:rPr>
          <w:rFonts w:eastAsia="Calibri"/>
          <w:i w:val="0"/>
          <w:sz w:val="22"/>
          <w:szCs w:val="22"/>
          <w:u w:val="single"/>
        </w:rPr>
        <w:t>10.5</w:t>
      </w:r>
      <w:r w:rsidR="00350448" w:rsidRPr="00BA1C52">
        <w:rPr>
          <w:rFonts w:eastAsia="Calibri"/>
          <w:i w:val="0"/>
          <w:sz w:val="22"/>
          <w:szCs w:val="22"/>
          <w:u w:val="single"/>
        </w:rPr>
        <w:t xml:space="preserve"> Finansijski aspekt - </w:t>
      </w:r>
      <w:proofErr w:type="gramStart"/>
      <w:r w:rsidR="00350448" w:rsidRPr="00BA1C52">
        <w:rPr>
          <w:rFonts w:eastAsia="Calibri"/>
          <w:i w:val="0"/>
          <w:sz w:val="22"/>
          <w:szCs w:val="22"/>
          <w:u w:val="single"/>
        </w:rPr>
        <w:t>Prosječni  profit</w:t>
      </w:r>
      <w:proofErr w:type="gramEnd"/>
      <w:r w:rsidR="00350448" w:rsidRPr="00BA1C52">
        <w:rPr>
          <w:rFonts w:eastAsia="Calibri"/>
          <w:i w:val="0"/>
          <w:sz w:val="22"/>
          <w:szCs w:val="22"/>
          <w:u w:val="single"/>
        </w:rPr>
        <w:t xml:space="preserve"> ponuđača u posljednje tri godine 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Ovaj kriterijum se izračunava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sljedeći način: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Kriterijum:  PNP / MNP x 5,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gdje</w:t>
      </w:r>
      <w:proofErr w:type="gramEnd"/>
      <w:r w:rsidRPr="00BA1C52">
        <w:rPr>
          <w:rFonts w:ascii="Arial" w:hAnsi="Arial" w:cs="Arial"/>
        </w:rPr>
        <w:t>: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 xml:space="preserve">PNP – </w:t>
      </w:r>
      <w:r w:rsidRPr="00BA1C52">
        <w:rPr>
          <w:rFonts w:ascii="Arial" w:hAnsi="Arial" w:cs="Arial"/>
        </w:rPr>
        <w:t>označava prosječni neto prihod ponuđača za posljednje tri godine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MNP –</w:t>
      </w:r>
      <w:r w:rsidRPr="00BA1C52">
        <w:rPr>
          <w:rFonts w:ascii="Arial" w:hAnsi="Arial" w:cs="Arial"/>
        </w:rPr>
        <w:t xml:space="preserve"> označava maksimalni prosječni neto prihod za posljednje tri godine ponuđen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tenderu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  <w:b/>
        </w:rPr>
        <w:t>5 –</w:t>
      </w:r>
      <w:r w:rsidRPr="00BA1C52">
        <w:rPr>
          <w:rFonts w:ascii="Arial" w:hAnsi="Arial" w:cs="Arial"/>
        </w:rPr>
        <w:t xml:space="preserve"> </w:t>
      </w:r>
      <w:proofErr w:type="gramStart"/>
      <w:r w:rsidRPr="00BA1C52">
        <w:rPr>
          <w:rFonts w:ascii="Arial" w:hAnsi="Arial" w:cs="Arial"/>
        </w:rPr>
        <w:t>označava</w:t>
      </w:r>
      <w:proofErr w:type="gramEnd"/>
      <w:r w:rsidRPr="00BA1C52">
        <w:rPr>
          <w:rFonts w:ascii="Arial" w:hAnsi="Arial" w:cs="Arial"/>
        </w:rPr>
        <w:t xml:space="preserve"> broj bodova po ovom kriterijum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pStyle w:val="Heading2"/>
        <w:numPr>
          <w:ilvl w:val="1"/>
          <w:numId w:val="0"/>
        </w:numPr>
        <w:suppressAutoHyphens w:val="0"/>
        <w:spacing w:before="0" w:after="0"/>
        <w:jc w:val="both"/>
        <w:rPr>
          <w:rFonts w:eastAsia="Calibri"/>
          <w:i w:val="0"/>
          <w:sz w:val="22"/>
          <w:szCs w:val="22"/>
          <w:u w:val="single"/>
        </w:rPr>
      </w:pPr>
      <w:bookmarkStart w:id="34" w:name="_Toc436124908"/>
      <w:proofErr w:type="gramStart"/>
      <w:r w:rsidRPr="00BA1C52">
        <w:rPr>
          <w:rFonts w:eastAsia="Calibri"/>
          <w:i w:val="0"/>
          <w:sz w:val="22"/>
          <w:szCs w:val="22"/>
          <w:u w:val="single"/>
        </w:rPr>
        <w:t>10.</w:t>
      </w:r>
      <w:r w:rsidR="00406350" w:rsidRPr="00BA1C52">
        <w:rPr>
          <w:rFonts w:eastAsia="Calibri"/>
          <w:i w:val="0"/>
          <w:sz w:val="22"/>
          <w:szCs w:val="22"/>
          <w:u w:val="single"/>
        </w:rPr>
        <w:t>6</w:t>
      </w:r>
      <w:r w:rsidRPr="00BA1C52">
        <w:rPr>
          <w:rFonts w:eastAsia="Calibri"/>
          <w:i w:val="0"/>
          <w:sz w:val="22"/>
          <w:szCs w:val="22"/>
          <w:u w:val="single"/>
        </w:rPr>
        <w:t xml:space="preserve">  Kvalitet</w:t>
      </w:r>
      <w:proofErr w:type="gramEnd"/>
      <w:r w:rsidRPr="00BA1C52">
        <w:rPr>
          <w:rFonts w:eastAsia="Calibri"/>
          <w:i w:val="0"/>
          <w:sz w:val="22"/>
          <w:szCs w:val="22"/>
          <w:u w:val="single"/>
        </w:rPr>
        <w:t xml:space="preserve"> poslovnog plana i efekti na zapošljavanje i ekonomski razvoj</w:t>
      </w:r>
      <w:bookmarkEnd w:id="34"/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0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numPr>
          <w:ilvl w:val="1"/>
          <w:numId w:val="15"/>
        </w:numPr>
        <w:spacing w:after="0"/>
        <w:ind w:left="0" w:firstLine="0"/>
        <w:jc w:val="both"/>
        <w:rPr>
          <w:rFonts w:ascii="Arial" w:hAnsi="Arial" w:cs="Arial"/>
          <w:b/>
          <w:vanish/>
        </w:rPr>
      </w:pP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Ponuđač je dužan da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parametrima iz Koncesionog akta dokaže i opiše poslovni plan za realizaciju koncesije i efekte realizacije koncesije na zapošljavanje i ekonomski razvoj. Ponuđač je, između ostalog, dužan opisati planirana investiciona ulaganja za realizaciju koncesije (ulaganja u nabavku opreme i mehanizacije, u izgradnju infrastrukturnih objekata i u izradu projektne i ostale tehničke dokumentacije, itd</w:t>
      </w:r>
      <w:proofErr w:type="gramStart"/>
      <w:r w:rsidRPr="00BA1C52">
        <w:rPr>
          <w:rFonts w:ascii="Arial" w:hAnsi="Arial" w:cs="Arial"/>
        </w:rPr>
        <w:t>..)</w:t>
      </w:r>
      <w:proofErr w:type="gramEnd"/>
      <w:r w:rsidRPr="00BA1C52">
        <w:rPr>
          <w:rFonts w:ascii="Arial" w:hAnsi="Arial" w:cs="Arial"/>
        </w:rPr>
        <w:t>, zapošljavanje radnje snage, plasman proizvoda na tržište, itd..</w:t>
      </w:r>
    </w:p>
    <w:p w:rsidR="00350448" w:rsidRPr="00BA1C52" w:rsidRDefault="00350448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 xml:space="preserve">Najveći broj bodova po ovom kriterijumu </w:t>
      </w:r>
      <w:proofErr w:type="gramStart"/>
      <w:r w:rsidRPr="00BA1C52">
        <w:rPr>
          <w:rFonts w:ascii="Arial" w:hAnsi="Arial" w:cs="Arial"/>
        </w:rPr>
        <w:t>će</w:t>
      </w:r>
      <w:proofErr w:type="gramEnd"/>
      <w:r w:rsidRPr="00BA1C52">
        <w:rPr>
          <w:rFonts w:ascii="Arial" w:hAnsi="Arial" w:cs="Arial"/>
        </w:rPr>
        <w:t xml:space="preserve"> se dati ponuđači koji najbolje dokumentuje i dokaže prethodno opisane uslove.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35" w:name="_Toc390549920"/>
      <w:bookmarkStart w:id="36" w:name="_Toc402262970"/>
      <w:r w:rsidRPr="00BA1C52">
        <w:rPr>
          <w:sz w:val="22"/>
          <w:szCs w:val="22"/>
        </w:rPr>
        <w:t>11 SPISAK POTREBNE TEHNIČKE DOKUMENTACIJE SA USLOVIMA ZA NJENU IZRADU, ODOBRENJA, SAGLASNOSTI I MIŠLJENJA ZA OBAVLJANJE KONCESIONE DJELATNOSTI</w:t>
      </w:r>
      <w:bookmarkEnd w:id="35"/>
      <w:bookmarkEnd w:id="36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spacing w:before="0" w:after="0"/>
        <w:jc w:val="both"/>
        <w:rPr>
          <w:i w:val="0"/>
          <w:sz w:val="22"/>
          <w:szCs w:val="22"/>
          <w:u w:val="single"/>
        </w:rPr>
      </w:pPr>
      <w:bookmarkStart w:id="37" w:name="_Toc402221835"/>
      <w:proofErr w:type="gramStart"/>
      <w:r w:rsidRPr="00BA1C52">
        <w:rPr>
          <w:i w:val="0"/>
          <w:sz w:val="22"/>
          <w:szCs w:val="22"/>
          <w:u w:val="single"/>
        </w:rPr>
        <w:t>11.1  Faza</w:t>
      </w:r>
      <w:proofErr w:type="gramEnd"/>
      <w:r w:rsidRPr="00BA1C52">
        <w:rPr>
          <w:i w:val="0"/>
          <w:sz w:val="22"/>
          <w:szCs w:val="22"/>
          <w:u w:val="single"/>
        </w:rPr>
        <w:t xml:space="preserve"> detaljnih geoloških istraživanja</w:t>
      </w:r>
      <w:bookmarkEnd w:id="37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 skladu sa odredbama Zakona o geološkim istraživanjima (‘’Sl. list RCG’’, br. 28/93, 27/94, 42/94 i 26/07 i „Sl. list CG“, br. 28/11) za izvođenje detaljnih geoloških istraživanja potrebna je izrada </w:t>
      </w:r>
      <w:r w:rsidRPr="00BA1C52">
        <w:rPr>
          <w:rFonts w:ascii="Arial" w:hAnsi="Arial" w:cs="Arial"/>
          <w:b/>
        </w:rPr>
        <w:t>Projekta detaljnih geoloških istraživanja</w:t>
      </w:r>
      <w:r w:rsidRPr="00BA1C52">
        <w:rPr>
          <w:rFonts w:ascii="Arial" w:hAnsi="Arial" w:cs="Arial"/>
        </w:rPr>
        <w:t xml:space="preserve"> ležišta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="000F6A18" w:rsidRPr="00BA1C52">
        <w:rPr>
          <w:rFonts w:ascii="Arial" w:hAnsi="Arial" w:cs="Arial"/>
        </w:rPr>
        <w:t xml:space="preserve"> (vulkaniti) „Bistrica</w:t>
      </w:r>
      <w:r w:rsidRPr="00BA1C52">
        <w:rPr>
          <w:rFonts w:ascii="Arial" w:hAnsi="Arial" w:cs="Arial"/>
        </w:rPr>
        <w:t>“, čiju reviziju vrši investitor, u skladu sa zakonom.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Izvođenje istražnih radova prema revidovanom Projektu detaljnih geoloških istraživanja</w:t>
      </w:r>
      <w:r w:rsidRPr="00BA1C52">
        <w:rPr>
          <w:rFonts w:ascii="Arial" w:hAnsi="Arial" w:cs="Arial"/>
          <w:b/>
        </w:rPr>
        <w:t xml:space="preserve"> odobrava </w:t>
      </w:r>
      <w:r w:rsidRPr="00BA1C52">
        <w:rPr>
          <w:rFonts w:ascii="Arial" w:hAnsi="Arial" w:cs="Arial"/>
        </w:rPr>
        <w:t xml:space="preserve">nadležno ministarstvo za rudarstvo i geološka istraživanja,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odredbama Zakona o geološkim istraživanjima.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 xml:space="preserve">Ako se Projektom detaljnih geoloških istraživanja predvidi izvođenje rudarskih istražnih radova (potkopi, uskopi, niskopi i okna), kao i probna eksploatacija mineralne sirovine, za izvođenje istih je potrebno pribaviti </w:t>
      </w:r>
      <w:r w:rsidRPr="00BA1C52">
        <w:rPr>
          <w:rFonts w:ascii="Arial" w:hAnsi="Arial" w:cs="Arial"/>
          <w:b/>
        </w:rPr>
        <w:t>mišljenje</w:t>
      </w:r>
      <w:r w:rsidRPr="00BA1C52">
        <w:rPr>
          <w:rFonts w:ascii="Arial" w:hAnsi="Arial" w:cs="Arial"/>
        </w:rPr>
        <w:t xml:space="preserve"> nadležnog organa za zaštitu životne sredine.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Ukoliko bi, Projektom predviđeni istražni radovi izazvali promjene u prostoru, pribavljaju se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nadležnog organa </w:t>
      </w:r>
      <w:r w:rsidRPr="00BA1C52">
        <w:rPr>
          <w:rFonts w:ascii="Arial" w:hAnsi="Arial" w:cs="Arial"/>
          <w:b/>
        </w:rPr>
        <w:t>urbanističko-tehnički uslovi</w:t>
      </w:r>
      <w:r w:rsidRPr="00BA1C52">
        <w:rPr>
          <w:rFonts w:ascii="Arial" w:hAnsi="Arial" w:cs="Arial"/>
        </w:rPr>
        <w:t xml:space="preserve">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Uz zahtjev za dobijanje odobrenja za izvođenje detaljnih geoloških istraživanja dostavlja se dokaz o riješenim imovinsko-pravnim odnosima.</w:t>
      </w:r>
      <w:proofErr w:type="gramEnd"/>
      <w:r w:rsidRPr="00BA1C52">
        <w:rPr>
          <w:rFonts w:ascii="Arial" w:hAnsi="Arial" w:cs="Arial"/>
        </w:rPr>
        <w:t xml:space="preserve"> Ukoliko je zemljište na kojem se nalazi ležište mineralne sirovine u državnom vlasništvu, u skladu sa odredbama Zakona o koncesijama (“Sl. list CG”, br. 08/09), nadležni organ za poslove katastra nepokretnosti vrši zabilježbu prava korišćenja istog za period trajanja koncesije.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 procesu geoloških istražinih radova vrši se laboratorijsko ispitivanje uzoraka tehničko-</w:t>
      </w:r>
      <w:proofErr w:type="gramStart"/>
      <w:r w:rsidRPr="00BA1C52">
        <w:rPr>
          <w:rFonts w:ascii="Arial" w:hAnsi="Arial" w:cs="Arial"/>
        </w:rPr>
        <w:t>građevinskog  kamena</w:t>
      </w:r>
      <w:proofErr w:type="gramEnd"/>
      <w:r w:rsidRPr="00BA1C52">
        <w:rPr>
          <w:rFonts w:ascii="Arial" w:hAnsi="Arial" w:cs="Arial"/>
        </w:rPr>
        <w:t xml:space="preserve"> za određivanje njegovih fizičko-mehaničkih svojstava, mineraloško-petrografskog i hemijskog sastava.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Navedena ispitivanja se vrše za potrebe izrade Elaborata o klasifikaciji, kategorizaciji i proračunu rezervi mineralne sirovine i za potrebe rudarskog projektovanja.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proofErr w:type="gramStart"/>
      <w:r w:rsidRPr="00BA1C52">
        <w:rPr>
          <w:rFonts w:ascii="Arial" w:hAnsi="Arial" w:cs="Arial"/>
        </w:rPr>
        <w:t xml:space="preserve">Nakon sprovedenih terenskih radova, laboratorijskih i tehnoloških ispitivanja mineralne sirovine, pristupa se izradi </w:t>
      </w:r>
      <w:r w:rsidRPr="00BA1C52">
        <w:rPr>
          <w:rFonts w:ascii="Arial" w:hAnsi="Arial" w:cs="Arial"/>
          <w:b/>
        </w:rPr>
        <w:t>Elaborata o klasifikaciji, kategorizaciji i proračunu rezervi</w:t>
      </w:r>
      <w:r w:rsidRPr="00BA1C52">
        <w:rPr>
          <w:rFonts w:ascii="Arial" w:hAnsi="Arial" w:cs="Arial"/>
        </w:rPr>
        <w:t xml:space="preserve"> tehničko-građevinskog kamena</w:t>
      </w:r>
      <w:r w:rsidR="000F6A18" w:rsidRPr="00BA1C52">
        <w:rPr>
          <w:rFonts w:ascii="Arial" w:hAnsi="Arial" w:cs="Arial"/>
        </w:rPr>
        <w:t xml:space="preserve"> (vulkaniti) u ležištu „Bistrica</w:t>
      </w:r>
      <w:r w:rsidRPr="00BA1C52">
        <w:rPr>
          <w:rFonts w:ascii="Arial" w:hAnsi="Arial" w:cs="Arial"/>
        </w:rPr>
        <w:t xml:space="preserve">“, </w:t>
      </w:r>
      <w:r w:rsidRPr="00BA1C52">
        <w:rPr>
          <w:rFonts w:ascii="Arial" w:hAnsi="Arial" w:cs="Arial"/>
          <w:b/>
        </w:rPr>
        <w:t>čiju ovjeru vrši ministarstvo nadležno za poslove rudarstva i geoloških istraživanja.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Default="00435AB2" w:rsidP="00BA1C52">
      <w:pPr>
        <w:spacing w:after="0"/>
        <w:jc w:val="both"/>
        <w:rPr>
          <w:rFonts w:ascii="Arial" w:hAnsi="Arial" w:cs="Arial"/>
          <w:szCs w:val="24"/>
        </w:rPr>
      </w:pPr>
      <w:r w:rsidRPr="00BA1C52">
        <w:rPr>
          <w:rFonts w:ascii="Arial" w:hAnsi="Arial" w:cs="Arial"/>
          <w:szCs w:val="24"/>
        </w:rPr>
        <w:t xml:space="preserve">Tokom koncesionog perioda budući Koncesionar je dužan da, u skladu </w:t>
      </w:r>
      <w:proofErr w:type="gramStart"/>
      <w:r w:rsidRPr="00BA1C52">
        <w:rPr>
          <w:rFonts w:ascii="Arial" w:hAnsi="Arial" w:cs="Arial"/>
          <w:szCs w:val="24"/>
        </w:rPr>
        <w:t>sa</w:t>
      </w:r>
      <w:proofErr w:type="gramEnd"/>
      <w:r w:rsidRPr="00BA1C52">
        <w:rPr>
          <w:rFonts w:ascii="Arial" w:hAnsi="Arial" w:cs="Arial"/>
          <w:szCs w:val="24"/>
        </w:rPr>
        <w:t xml:space="preserve"> odredbama Zakona o geološkim istraživanjima, dostavlja nadležnom državnom organu za rudarstvo i geološka istraživanja svake pete godine na ovjeru Elaborat o kasifikaciji, kategorizaciji i proračunu rezervi mineralne sirovine, sa stanjem na dan 31. </w:t>
      </w:r>
      <w:proofErr w:type="gramStart"/>
      <w:r w:rsidRPr="00BA1C52">
        <w:rPr>
          <w:rFonts w:ascii="Arial" w:hAnsi="Arial" w:cs="Arial"/>
          <w:szCs w:val="24"/>
        </w:rPr>
        <w:t>decembar  prethodne</w:t>
      </w:r>
      <w:proofErr w:type="gramEnd"/>
      <w:r w:rsidRPr="00BA1C52">
        <w:rPr>
          <w:rFonts w:ascii="Arial" w:hAnsi="Arial" w:cs="Arial"/>
          <w:szCs w:val="24"/>
        </w:rPr>
        <w:t xml:space="preserve"> godine, koji se izrađuje na osnovu posebnih propisa.</w:t>
      </w:r>
    </w:p>
    <w:p w:rsidR="00773AE0" w:rsidRPr="00BA1C52" w:rsidRDefault="00773AE0" w:rsidP="00BA1C52">
      <w:pPr>
        <w:spacing w:after="0"/>
        <w:jc w:val="both"/>
        <w:rPr>
          <w:rFonts w:ascii="Arial" w:hAnsi="Arial" w:cs="Arial"/>
          <w:szCs w:val="24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2"/>
        <w:spacing w:before="0" w:after="0"/>
        <w:jc w:val="both"/>
        <w:rPr>
          <w:i w:val="0"/>
          <w:sz w:val="22"/>
          <w:szCs w:val="22"/>
          <w:u w:val="single"/>
        </w:rPr>
      </w:pPr>
      <w:bookmarkStart w:id="38" w:name="_Toc402221836"/>
      <w:r w:rsidRPr="00BA1C52">
        <w:rPr>
          <w:i w:val="0"/>
          <w:sz w:val="22"/>
          <w:szCs w:val="22"/>
          <w:u w:val="single"/>
        </w:rPr>
        <w:lastRenderedPageBreak/>
        <w:t>11.2 Faza eksploatacije mineralne sirovine</w:t>
      </w:r>
      <w:bookmarkEnd w:id="38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 xml:space="preserve">Poslije završenih detaljnih geoloških istražavinja, u skladu </w:t>
      </w:r>
      <w:proofErr w:type="gramStart"/>
      <w:r w:rsidRPr="00BA1C52">
        <w:rPr>
          <w:rFonts w:ascii="Arial" w:hAnsi="Arial" w:cs="Arial"/>
          <w:b/>
        </w:rPr>
        <w:t>sa</w:t>
      </w:r>
      <w:proofErr w:type="gramEnd"/>
      <w:r w:rsidRPr="00BA1C52">
        <w:rPr>
          <w:rFonts w:ascii="Arial" w:hAnsi="Arial" w:cs="Arial"/>
          <w:b/>
        </w:rPr>
        <w:t xml:space="preserve"> odredbama Zakona o rudarstvu („Sl. list CG“, br. 65/08, 74/10 i 40/11), pristupa se pribavljanju odobrenja za eksploataciju mineralne sirovine na eksploatacionom polju.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</w:rPr>
      </w:pPr>
      <w:bookmarkStart w:id="39" w:name="_Toc402262971"/>
      <w:r w:rsidRPr="00BA1C52">
        <w:rPr>
          <w:i w:val="0"/>
          <w:sz w:val="22"/>
          <w:szCs w:val="22"/>
        </w:rPr>
        <w:t xml:space="preserve">11.2.1 Odobrenje za eksploataciju mineralne sirovine </w:t>
      </w:r>
      <w:proofErr w:type="gramStart"/>
      <w:r w:rsidRPr="00BA1C52">
        <w:rPr>
          <w:i w:val="0"/>
          <w:sz w:val="22"/>
          <w:szCs w:val="22"/>
        </w:rPr>
        <w:t>na</w:t>
      </w:r>
      <w:proofErr w:type="gramEnd"/>
      <w:r w:rsidRPr="00BA1C52">
        <w:rPr>
          <w:i w:val="0"/>
          <w:sz w:val="22"/>
          <w:szCs w:val="22"/>
        </w:rPr>
        <w:t xml:space="preserve"> eksploatacionom polju</w:t>
      </w:r>
      <w:bookmarkEnd w:id="39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Odobrenje za eksploataciju mineralne sirovine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eksploatacionom polju, u skladu sa članom 33 Zakona o rudarstvu, izdaje Ministarstvo ekonomije na zahtjev investitora. Uz zahtjev se dostavlja i sljedeća dokumentacija: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ugovor o koncesiji;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situaciona karta u razmjeri 1:10.000 ( ili većoj) sa ucrtanim granicama eksploatacionog polja, javnim saobraćajnicama, rudarskim radovima i drugim objektima koji se nalaze na eksploatacionom polju, opisom granica, nazivom eksploatacionog polja i naznačenjem opštine na čijoj se teritoriji nalazi;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potvrdu o bilansnim rezervama mineralnih sirovina koja se izdaje u skladu sa važećim propisima o klasifikaciji i kategorizaciji rezervi;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studija izvodljivosti eksploatacije ležišta mineralnih sirovina sa prikazom uslova i načina eksploatacije i pripreme mineralnih sirovina sa dinamikom izvođenja radova i podacima o metanoobilnosti, zaprašenosti i zavodnjenosti, oplemenjivanju, upotrebi i plasmanu, mjerama zaštite i sanacije životne sredine kao i podacima o tehničkoj opremljenosti i stručnim kadrovima;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mišljenje nadležnog organa za zaštitu životne sredine na studiju izvodljivosti eksploatacije;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akt organa nadležnog za poslove urbanizma u pogledu usaglašenosti planirane eksploatacije mineralnih sirovina sa odgovarajućim prostornim, odnosno urbanističkim planovima;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licenca za izvođenje radova;</w:t>
      </w:r>
    </w:p>
    <w:p w:rsidR="00435AB2" w:rsidRPr="00BA1C52" w:rsidRDefault="00435AB2" w:rsidP="00BA1C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drugi</w:t>
      </w:r>
      <w:proofErr w:type="gramEnd"/>
      <w:r w:rsidRPr="00BA1C52">
        <w:rPr>
          <w:rFonts w:ascii="Arial" w:hAnsi="Arial" w:cs="Arial"/>
        </w:rPr>
        <w:t xml:space="preserve"> podaci od značaja za izdavanje odobrenja na zahtjev nadležnog organa.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</w:rPr>
      </w:pPr>
      <w:bookmarkStart w:id="40" w:name="_Toc402262972"/>
      <w:proofErr w:type="gramStart"/>
      <w:r w:rsidRPr="00BA1C52">
        <w:rPr>
          <w:rFonts w:eastAsia="Calibri"/>
          <w:bCs w:val="0"/>
          <w:i w:val="0"/>
          <w:iCs w:val="0"/>
          <w:kern w:val="0"/>
          <w:sz w:val="22"/>
          <w:szCs w:val="22"/>
        </w:rPr>
        <w:t>11.2.2</w:t>
      </w:r>
      <w:r w:rsidRPr="00BA1C52">
        <w:rPr>
          <w:rFonts w:eastAsia="Calibri"/>
          <w:b w:val="0"/>
          <w:bCs w:val="0"/>
          <w:i w:val="0"/>
          <w:iCs w:val="0"/>
          <w:kern w:val="0"/>
          <w:sz w:val="22"/>
          <w:szCs w:val="22"/>
        </w:rPr>
        <w:t xml:space="preserve">  </w:t>
      </w:r>
      <w:r w:rsidRPr="00BA1C52">
        <w:rPr>
          <w:i w:val="0"/>
          <w:sz w:val="22"/>
          <w:szCs w:val="22"/>
        </w:rPr>
        <w:t>Odobrenje</w:t>
      </w:r>
      <w:proofErr w:type="gramEnd"/>
      <w:r w:rsidRPr="00BA1C52">
        <w:rPr>
          <w:i w:val="0"/>
          <w:sz w:val="22"/>
          <w:szCs w:val="22"/>
        </w:rPr>
        <w:t xml:space="preserve"> za izvođenje radova po rudarskom projektu</w:t>
      </w:r>
      <w:bookmarkEnd w:id="40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Nakon dobijanja odobrenja za eksploataciju mineralne sirovine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eksploatacionom polju, pristupa se izradi rudarske tehničke dokumentacije –rudarskog projekta eksploatacije.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  <w:b/>
        </w:rPr>
        <w:t>Rudarski projekat</w:t>
      </w:r>
      <w:r w:rsidRPr="00BA1C52">
        <w:rPr>
          <w:rFonts w:ascii="Arial" w:hAnsi="Arial" w:cs="Arial"/>
        </w:rPr>
        <w:t xml:space="preserve"> izrađuje se za izgradnju novih rudarskih objekata, sistema otvaranja i pripreme rudarskih objekata radi eksploatacije mineralne sirovine.</w:t>
      </w:r>
      <w:proofErr w:type="gramEnd"/>
      <w:r w:rsidRPr="00BA1C52">
        <w:rPr>
          <w:rFonts w:ascii="Arial" w:hAnsi="Arial" w:cs="Arial"/>
        </w:rPr>
        <w:t xml:space="preserve"> Rudarski projekat podliježe tehničkoj kontroli (reviziji), koju vrši nadležni organ preko stručne komisije </w:t>
      </w:r>
      <w:proofErr w:type="gramStart"/>
      <w:r w:rsidRPr="00BA1C52">
        <w:rPr>
          <w:rFonts w:ascii="Arial" w:hAnsi="Arial" w:cs="Arial"/>
        </w:rPr>
        <w:t>ili</w:t>
      </w:r>
      <w:proofErr w:type="gramEnd"/>
      <w:r w:rsidRPr="00BA1C52">
        <w:rPr>
          <w:rFonts w:ascii="Arial" w:hAnsi="Arial" w:cs="Arial"/>
        </w:rPr>
        <w:t xml:space="preserve"> pravnog lica koje ima Licencu za izradu rudarskih projekata.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Odobrenje za izvođenje radova po rudarskom projektu,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članom 53 Zakona o rudarstvu, izdaje Ministarstvo ekonomije na zahtjev investitora. Uz zahtjev se dostavlja i sljedeća dokumentacija: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rudarski projekat sa revizionom klauzulom;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potvrda-saglasnost organa koji je izdao uslove da je rudarski projekat urađen u skladu sa izdatim uslovima;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 urbanističko-tehnički uslovi;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dokaz o pravu svojine ili korišćenja na zemljištu, odnosno službenosti za najmanje dvije godine eksploatacije mineralne sirovine prema dinamici utvrđenoj koncesionim pravom;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saglasnost organa državne uprave nadležnog za poslove zaštite životne sredine na elaborat procjene uticaja na životnu sredinu ili odluku da nije potrebno vršiti procjenu uticaja koje se izdaju u skladu sa posebnim propisom;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vodoprivredna saglasnost na projekte kada eksploatacija mineralnih sirovina utiče na režim voda;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>saobraćajna saglasnost za pristup javnim saobraćajnicama;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licenca za izvođenje radova;</w:t>
      </w:r>
    </w:p>
    <w:p w:rsidR="00435AB2" w:rsidRPr="00BA1C52" w:rsidRDefault="00435AB2" w:rsidP="00BA1C52">
      <w:pPr>
        <w:pStyle w:val="ListParagraph"/>
        <w:numPr>
          <w:ilvl w:val="0"/>
          <w:numId w:val="2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dokaz</w:t>
      </w:r>
      <w:proofErr w:type="gramEnd"/>
      <w:r w:rsidRPr="00BA1C52">
        <w:rPr>
          <w:rFonts w:ascii="Arial" w:hAnsi="Arial" w:cs="Arial"/>
        </w:rPr>
        <w:t xml:space="preserve"> o plaćenoj naknadi za promjenu namjene korišćenja poljoprivrednog zemljišta.</w:t>
      </w:r>
    </w:p>
    <w:p w:rsidR="00435AB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Za izgradnju rudarskih objekata i postrojenja dostavlja se i dokumentacija u skladu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propisima o građenju u zavisnosti od vrste objekta i utvrđenih uslova za izradu tehničke dokumentacije, a naročito sljedeće saglasnosti: elektro-energetska, zaštite na radu, sanitarna, protivpožarna, vodovodna, za priključenje na telekomunikacionu mrežu.</w:t>
      </w:r>
    </w:p>
    <w:p w:rsidR="00D469C6" w:rsidRPr="00BA1C52" w:rsidRDefault="00D469C6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3"/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41" w:name="_Toc435529036"/>
      <w:bookmarkStart w:id="42" w:name="_Toc436124913"/>
      <w:r w:rsidRPr="00BA1C52">
        <w:rPr>
          <w:rFonts w:ascii="Arial" w:hAnsi="Arial" w:cs="Arial"/>
          <w:b/>
          <w:sz w:val="22"/>
          <w:szCs w:val="22"/>
        </w:rPr>
        <w:t>11.2.3 Odobrenje za upotrebu rudarskih objekata</w:t>
      </w:r>
      <w:bookmarkEnd w:id="41"/>
      <w:bookmarkEnd w:id="42"/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Izgrađeni rudarski objekti </w:t>
      </w:r>
      <w:proofErr w:type="gramStart"/>
      <w:r w:rsidRPr="00BA1C52">
        <w:rPr>
          <w:rFonts w:ascii="Arial" w:hAnsi="Arial" w:cs="Arial"/>
        </w:rPr>
        <w:t>ili</w:t>
      </w:r>
      <w:proofErr w:type="gramEnd"/>
      <w:r w:rsidRPr="00BA1C52">
        <w:rPr>
          <w:rFonts w:ascii="Arial" w:hAnsi="Arial" w:cs="Arial"/>
        </w:rPr>
        <w:t xml:space="preserve"> djelovi rudarskih objekata koji se mogu samostalno koristiti, prije početka korišćenja, podliježu tehničkom pregledu, koji obuhvata pregled: rudarskih i građevinskih radova, električnih postrojenja, uređaja i instalacija i rudarske opreme i postrojenja.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Tehničkim pregledom utvrđuje se usklađenost izvedenih radova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tehničkom dokumentacijom na osnovu koje je izdato odobrenje za izvođenje radova, tehničkim propisima čija je primjena obavezna pri izgradnji rudarskih objekata i mjerama i normativima zaštite na radu i zaštite životne sredine. </w:t>
      </w:r>
      <w:proofErr w:type="gramStart"/>
      <w:r w:rsidRPr="00BA1C52">
        <w:rPr>
          <w:rFonts w:ascii="Arial" w:hAnsi="Arial" w:cs="Arial"/>
        </w:rPr>
        <w:t>Troškove tehničkog pregleda snosi investitor.</w:t>
      </w:r>
      <w:proofErr w:type="gramEnd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Tehnički pregled i odobrenje za upotrebu rudarskih objekata </w:t>
      </w:r>
      <w:proofErr w:type="gramStart"/>
      <w:r w:rsidRPr="00BA1C52">
        <w:rPr>
          <w:rFonts w:ascii="Arial" w:hAnsi="Arial" w:cs="Arial"/>
        </w:rPr>
        <w:t>ili</w:t>
      </w:r>
      <w:proofErr w:type="gramEnd"/>
      <w:r w:rsidRPr="00BA1C52">
        <w:rPr>
          <w:rFonts w:ascii="Arial" w:hAnsi="Arial" w:cs="Arial"/>
        </w:rPr>
        <w:t xml:space="preserve"> dijela objekta vrši nadležni organ preko stručne komisije ili pravnog lica u skladu sa propisima o izgradnji objekata.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Ako je za izdavanje odobrenja za upotrebu rudarskih objekata posebnim zakonom propisana obaveza prethodnog pribavljanja saglasnosti </w:t>
      </w:r>
      <w:proofErr w:type="gramStart"/>
      <w:r w:rsidRPr="00BA1C52">
        <w:rPr>
          <w:rFonts w:ascii="Arial" w:hAnsi="Arial" w:cs="Arial"/>
        </w:rPr>
        <w:t>ili</w:t>
      </w:r>
      <w:proofErr w:type="gramEnd"/>
      <w:r w:rsidRPr="00BA1C52">
        <w:rPr>
          <w:rFonts w:ascii="Arial" w:hAnsi="Arial" w:cs="Arial"/>
        </w:rPr>
        <w:t xml:space="preserve"> dozvole drugih organa ili organizacija, uz zahtjev za izdavanje odobrenja podnosi se i saglasnost, odnosno, dozvola.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</w:rPr>
      </w:pPr>
      <w:bookmarkStart w:id="43" w:name="_Toc390549926"/>
      <w:proofErr w:type="gramStart"/>
      <w:r w:rsidRPr="00BA1C52">
        <w:rPr>
          <w:i w:val="0"/>
          <w:sz w:val="22"/>
          <w:szCs w:val="22"/>
        </w:rPr>
        <w:t xml:space="preserve">12  </w:t>
      </w:r>
      <w:bookmarkStart w:id="44" w:name="_Toc402262974"/>
      <w:r w:rsidRPr="00BA1C52">
        <w:rPr>
          <w:i w:val="0"/>
          <w:sz w:val="22"/>
          <w:szCs w:val="22"/>
        </w:rPr>
        <w:t>HRONOLOGIJA</w:t>
      </w:r>
      <w:proofErr w:type="gramEnd"/>
      <w:r w:rsidRPr="00BA1C52">
        <w:rPr>
          <w:i w:val="0"/>
          <w:sz w:val="22"/>
          <w:szCs w:val="22"/>
        </w:rPr>
        <w:t xml:space="preserve"> IZRADE TEHNIČKE DOKUMENTACIJE I PRIBAVLJANJE ODOBRENJA I SAGLASNOSTI ZA IZVOĐENJE RUDARSKIH RADOVA</w:t>
      </w:r>
      <w:bookmarkEnd w:id="43"/>
      <w:bookmarkEnd w:id="44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10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Izrada Elaborata o klasifikaciji, kategorizaciji i proračunu rezervi tehničko-građevinskog kamena</w:t>
      </w:r>
      <w:r w:rsidR="000F6A18" w:rsidRPr="00BA1C52">
        <w:rPr>
          <w:rFonts w:ascii="Arial" w:hAnsi="Arial" w:cs="Arial"/>
        </w:rPr>
        <w:t xml:space="preserve"> (vulkaniti) na ležištu „Bistrica</w:t>
      </w:r>
      <w:proofErr w:type="gramStart"/>
      <w:r w:rsidRPr="00BA1C52">
        <w:rPr>
          <w:rFonts w:ascii="Arial" w:hAnsi="Arial" w:cs="Arial"/>
        </w:rPr>
        <w:t>“ (</w:t>
      </w:r>
      <w:proofErr w:type="gramEnd"/>
      <w:r w:rsidRPr="00BA1C52">
        <w:rPr>
          <w:rFonts w:ascii="Arial" w:hAnsi="Arial" w:cs="Arial"/>
        </w:rPr>
        <w:t>obaveza investitora).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Dostavljanje Elaborata o klasifikaciji, kategorizaciji i proračunu rezervi tehničko-građevinskog kamena</w:t>
      </w:r>
      <w:r w:rsidR="000F6A18" w:rsidRPr="00BA1C52">
        <w:rPr>
          <w:rFonts w:ascii="Arial" w:hAnsi="Arial" w:cs="Arial"/>
        </w:rPr>
        <w:t xml:space="preserve"> (vulkaniti</w:t>
      </w:r>
      <w:proofErr w:type="gramStart"/>
      <w:r w:rsidR="000F6A18" w:rsidRPr="00BA1C52">
        <w:rPr>
          <w:rFonts w:ascii="Arial" w:hAnsi="Arial" w:cs="Arial"/>
        </w:rPr>
        <w:t>)  na</w:t>
      </w:r>
      <w:proofErr w:type="gramEnd"/>
      <w:r w:rsidR="000F6A18" w:rsidRPr="00BA1C52">
        <w:rPr>
          <w:rFonts w:ascii="Arial" w:hAnsi="Arial" w:cs="Arial"/>
        </w:rPr>
        <w:t xml:space="preserve"> ležištu „Bistrica</w:t>
      </w:r>
      <w:r w:rsidRPr="00BA1C52">
        <w:rPr>
          <w:rFonts w:ascii="Arial" w:hAnsi="Arial" w:cs="Arial"/>
        </w:rPr>
        <w:t>“ sa zahtjevom nadležnom organu za njegovu revizuju i ovjeru (obaveza investitora).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Reviziju Elaborata o klasifikaciji, kategorizaciji i proračunu rezervi tehničko-građevinskog kamena</w:t>
      </w:r>
      <w:r w:rsidR="000F6A18" w:rsidRPr="00BA1C52">
        <w:rPr>
          <w:rFonts w:ascii="Arial" w:hAnsi="Arial" w:cs="Arial"/>
        </w:rPr>
        <w:t xml:space="preserve"> (vulkaniti) na ležištu „Bistrica</w:t>
      </w:r>
      <w:proofErr w:type="gramStart"/>
      <w:r w:rsidRPr="00BA1C52">
        <w:rPr>
          <w:rFonts w:ascii="Arial" w:hAnsi="Arial" w:cs="Arial"/>
        </w:rPr>
        <w:t>“  organizuje</w:t>
      </w:r>
      <w:proofErr w:type="gramEnd"/>
      <w:r w:rsidRPr="00BA1C52">
        <w:rPr>
          <w:rFonts w:ascii="Arial" w:hAnsi="Arial" w:cs="Arial"/>
        </w:rPr>
        <w:t xml:space="preserve"> nadležni organ, troškove revizije snosi investitor.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Izdavanje rješenja o ovjeri Elaborata o klasifikaciji, kategorizaciji i proračunu rezervi tehničko-građevinskog kamena </w:t>
      </w:r>
      <w:r w:rsidR="000F6A18" w:rsidRPr="00BA1C52">
        <w:rPr>
          <w:rFonts w:ascii="Arial" w:hAnsi="Arial" w:cs="Arial"/>
        </w:rPr>
        <w:t>(vulkaniti) na ležištu „Bistrica</w:t>
      </w:r>
      <w:proofErr w:type="gramStart"/>
      <w:r w:rsidRPr="00BA1C52">
        <w:rPr>
          <w:rFonts w:ascii="Arial" w:hAnsi="Arial" w:cs="Arial"/>
        </w:rPr>
        <w:t>“ (</w:t>
      </w:r>
      <w:proofErr w:type="gramEnd"/>
      <w:r w:rsidRPr="00BA1C52">
        <w:rPr>
          <w:rFonts w:ascii="Arial" w:hAnsi="Arial" w:cs="Arial"/>
        </w:rPr>
        <w:t>Ministarstvo ekonomije).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10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Investitor dostavlja zahtjev nadležnom ministarstvu uz dokumentaciju, propisanu članom 33 Zakona o rudarstvu i koja je navedena u ovom Koncesionom aktu, za dobijanje odobrenja za eksploataciju mineralne sirovine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eksploatacionom polju.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Izdavanje rješenja kojim se odobrava eksploatacija mineralne sirovine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eksploatacionom polju (Ministarstvo ekonomije).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Izrada Glavnog rudarskog projekta (obaveza investitora).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Dostavljanje Glavnog rudarskog projekta uz zahtjev za obavljanje tehničke kontrole – revizije (obaveza investitora).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Revizija Glavnog rudarskog projekta. Reviziju organizuje Ministarstvo ekonomije, a troškove snosi investitor.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Izdavanje revizione klauzule (vršioc revizije Projekta).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10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Investitor podnosi zahtjev nadležnom državnom organu (Agencija za zaštitu životne sredine) radi ocjene o potrebi izrade Elaborata o procjeni uticaja zahvata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sredinu. 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Ukoliko nadležni državni organ ocijeni da je potrebno raditi Elaborat o procjeni uticaja zahvata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sredinu, isti se radi (obaveza investitora).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Investitor Agenciji za zaštitu životne sredine dostavlja Elaborat o procjeni uticaja zahvata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sredinu, uz zahtjev za obavljanje njegove revizije.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Organizaciju revizije Elaborata o procjeni uticaja zahvata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životnu sredinu obavlja Agencija za zaštitu životne sredine, a troškove revizije snosi investitor.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 xml:space="preserve">Izdavanje rješenja kojim se daje saglasnost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Elaborat (Agencija za zaštitu životne sredine).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10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Investitor dostavlja zahtjev, uz dokumentaciju propisanu članom 53 Zakona o rudarstvu i koja je navedena u ovom Koncesionom aktu, za izdavanje odobrenja za </w:t>
      </w:r>
      <w:proofErr w:type="gramStart"/>
      <w:r w:rsidRPr="00BA1C52">
        <w:rPr>
          <w:rFonts w:ascii="Arial" w:hAnsi="Arial" w:cs="Arial"/>
        </w:rPr>
        <w:t>izvođenje  radova</w:t>
      </w:r>
      <w:proofErr w:type="gramEnd"/>
      <w:r w:rsidRPr="00BA1C52">
        <w:rPr>
          <w:rFonts w:ascii="Arial" w:hAnsi="Arial" w:cs="Arial"/>
        </w:rPr>
        <w:t xml:space="preserve"> po revidovanom Glavnom rudarskom projektu.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Izdavanje rješenja kojim se odobrava izvođenje radova po Glavnom rudarskom projektu (Ministarstvo ekonomije).</w:t>
      </w:r>
    </w:p>
    <w:p w:rsidR="00435AB2" w:rsidRPr="00BA1C52" w:rsidRDefault="00435AB2" w:rsidP="00BA1C52">
      <w:pPr>
        <w:pStyle w:val="ListParagraph"/>
        <w:numPr>
          <w:ilvl w:val="0"/>
          <w:numId w:val="10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Nakon izgradnje rudarskih objekta i postrojenja, investitor podnosi zahtjev Ministarstvu ekonomije radi obavljanja tehničkog pregleda </w:t>
      </w:r>
      <w:proofErr w:type="gramStart"/>
      <w:r w:rsidRPr="00BA1C52">
        <w:rPr>
          <w:rFonts w:ascii="Arial" w:hAnsi="Arial" w:cs="Arial"/>
        </w:rPr>
        <w:t>sa</w:t>
      </w:r>
      <w:proofErr w:type="gramEnd"/>
      <w:r w:rsidRPr="00BA1C52">
        <w:rPr>
          <w:rFonts w:ascii="Arial" w:hAnsi="Arial" w:cs="Arial"/>
        </w:rPr>
        <w:t xml:space="preserve"> ciljem izdavanja upotrebne dozvole.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Tehnički pregled organizuje Ministarstvo ekonomije, a troškove pregleda snosi investitor.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Nakon obavljenog tehničkog pregleda investitor Ministarstvu ekonomije dostavlja zahtjev za izdavanje upotrebne dozvole.</w:t>
      </w:r>
    </w:p>
    <w:p w:rsidR="00435AB2" w:rsidRPr="00BA1C52" w:rsidRDefault="00435AB2" w:rsidP="00BA1C52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06350" w:rsidRPr="00773AE0" w:rsidRDefault="00435AB2" w:rsidP="00BA1C52">
      <w:pPr>
        <w:pStyle w:val="ListParagraph"/>
        <w:numPr>
          <w:ilvl w:val="0"/>
          <w:numId w:val="9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</w:rPr>
        <w:t>Rješenje kojim se odobrava upotreba izgrađenih objekata i postrojenja izdaje Ministarstvo ekonomije.</w:t>
      </w:r>
    </w:p>
    <w:p w:rsidR="00406350" w:rsidRPr="00BA1C52" w:rsidRDefault="00406350" w:rsidP="00BA1C52">
      <w:pPr>
        <w:pStyle w:val="ListParagraph"/>
        <w:suppressAutoHyphens/>
        <w:spacing w:after="0"/>
        <w:ind w:left="0"/>
        <w:contextualSpacing w:val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45" w:name="_Toc402262975"/>
      <w:proofErr w:type="gramStart"/>
      <w:r w:rsidRPr="00BA1C52">
        <w:rPr>
          <w:sz w:val="22"/>
          <w:szCs w:val="22"/>
        </w:rPr>
        <w:t>13  OSNOVNI</w:t>
      </w:r>
      <w:proofErr w:type="gramEnd"/>
      <w:r w:rsidRPr="00BA1C52">
        <w:rPr>
          <w:sz w:val="22"/>
          <w:szCs w:val="22"/>
        </w:rPr>
        <w:t xml:space="preserve"> ELEMENTI TENDERSKE DOKUMENTACIJE (JAVNI OGLAS, </w:t>
      </w:r>
      <w:r w:rsidR="003144E1" w:rsidRPr="00BA1C52">
        <w:rPr>
          <w:sz w:val="22"/>
          <w:szCs w:val="22"/>
        </w:rPr>
        <w:t xml:space="preserve">DOKUMENTACIJA VEZANA ZA </w:t>
      </w:r>
      <w:r w:rsidRPr="00BA1C52">
        <w:rPr>
          <w:sz w:val="22"/>
          <w:szCs w:val="22"/>
        </w:rPr>
        <w:t>OGLAS)</w:t>
      </w:r>
      <w:bookmarkEnd w:id="45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  <w:r w:rsidRPr="00BA1C52">
        <w:rPr>
          <w:rFonts w:ascii="Arial" w:hAnsi="Arial" w:cs="Arial"/>
          <w:b/>
        </w:rPr>
        <w:t>Tendersku dokumentaciju čine sljedeća dokumenta: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</w:rPr>
      </w:pPr>
    </w:p>
    <w:p w:rsidR="00435AB2" w:rsidRPr="00BA1C52" w:rsidRDefault="00435AB2" w:rsidP="00BA1C52">
      <w:pPr>
        <w:pStyle w:val="ListParagraph"/>
        <w:numPr>
          <w:ilvl w:val="0"/>
          <w:numId w:val="5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Koncesioni akt;</w:t>
      </w:r>
    </w:p>
    <w:p w:rsidR="00435AB2" w:rsidRPr="00BA1C52" w:rsidRDefault="00435AB2" w:rsidP="00BA1C52">
      <w:pPr>
        <w:pStyle w:val="ListParagraph"/>
        <w:numPr>
          <w:ilvl w:val="0"/>
          <w:numId w:val="5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Dokumentacija vezana uz ponudu;</w:t>
      </w:r>
    </w:p>
    <w:p w:rsidR="00435AB2" w:rsidRPr="00BA1C52" w:rsidRDefault="00435AB2" w:rsidP="00BA1C52">
      <w:pPr>
        <w:pStyle w:val="ListParagraph"/>
        <w:numPr>
          <w:ilvl w:val="0"/>
          <w:numId w:val="5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lastRenderedPageBreak/>
        <w:t>Javni oglas,</w:t>
      </w:r>
    </w:p>
    <w:p w:rsidR="00435AB2" w:rsidRPr="00BA1C52" w:rsidRDefault="00435AB2" w:rsidP="00BA1C52">
      <w:pPr>
        <w:pStyle w:val="ListParagraph"/>
        <w:numPr>
          <w:ilvl w:val="0"/>
          <w:numId w:val="5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Uputstvo za podnošenje ponuda i</w:t>
      </w:r>
    </w:p>
    <w:p w:rsidR="00435AB2" w:rsidRDefault="00773AE0" w:rsidP="00BA1C52">
      <w:pPr>
        <w:pStyle w:val="ListParagraph"/>
        <w:numPr>
          <w:ilvl w:val="0"/>
          <w:numId w:val="5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Predlog</w:t>
      </w:r>
      <w:r w:rsidR="00435AB2" w:rsidRPr="00BA1C52">
        <w:rPr>
          <w:rFonts w:ascii="Arial" w:hAnsi="Arial" w:cs="Arial"/>
        </w:rPr>
        <w:t xml:space="preserve"> ugovora o koncesiji.</w:t>
      </w:r>
      <w:bookmarkStart w:id="46" w:name="_Toc401959458"/>
      <w:bookmarkStart w:id="47" w:name="_Toc401959551"/>
      <w:bookmarkStart w:id="48" w:name="_Toc435529039"/>
      <w:bookmarkStart w:id="49" w:name="_Toc436124916"/>
    </w:p>
    <w:p w:rsidR="00D469C6" w:rsidRPr="00BA1C52" w:rsidRDefault="00D469C6" w:rsidP="00D469C6">
      <w:pPr>
        <w:pStyle w:val="ListParagraph"/>
        <w:suppressAutoHyphens/>
        <w:spacing w:after="0"/>
        <w:ind w:left="0"/>
        <w:contextualSpacing w:val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r w:rsidRPr="00BA1C52">
        <w:rPr>
          <w:i w:val="0"/>
          <w:sz w:val="22"/>
          <w:szCs w:val="22"/>
          <w:u w:val="single"/>
        </w:rPr>
        <w:t>13.1 Dokumentacija koja se prilaže uz ponudu</w:t>
      </w:r>
      <w:bookmarkEnd w:id="46"/>
      <w:bookmarkEnd w:id="47"/>
      <w:bookmarkEnd w:id="48"/>
      <w:bookmarkEnd w:id="49"/>
    </w:p>
    <w:p w:rsidR="000F6A18" w:rsidRPr="00BA1C52" w:rsidRDefault="000F6A18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Shodno članu 23 Zakona o koncesijama nepodobni da učestvuju </w:t>
      </w:r>
      <w:proofErr w:type="gramStart"/>
      <w:r w:rsidRPr="00BA1C52">
        <w:rPr>
          <w:rFonts w:ascii="Arial" w:hAnsi="Arial" w:cs="Arial"/>
        </w:rPr>
        <w:t>na</w:t>
      </w:r>
      <w:proofErr w:type="gramEnd"/>
      <w:r w:rsidRPr="00BA1C52">
        <w:rPr>
          <w:rFonts w:ascii="Arial" w:hAnsi="Arial" w:cs="Arial"/>
        </w:rPr>
        <w:t xml:space="preserve"> javnom nadmetanju za davanje koncesije su:</w:t>
      </w:r>
    </w:p>
    <w:p w:rsidR="00435AB2" w:rsidRPr="00BA1C52" w:rsidRDefault="00435AB2" w:rsidP="00BA1C52">
      <w:pPr>
        <w:pStyle w:val="ListParagraph"/>
        <w:numPr>
          <w:ilvl w:val="0"/>
          <w:numId w:val="22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435AB2" w:rsidRPr="00BA1C52" w:rsidRDefault="00435AB2" w:rsidP="00BA1C52">
      <w:pPr>
        <w:pStyle w:val="ListParagraph"/>
        <w:numPr>
          <w:ilvl w:val="0"/>
          <w:numId w:val="22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privredna društva, druga pravna lica, preduzetnici i fizička lica koja su pravosnažnom presudom osuđena za krivično djelo izvršeno u vršenju profesionalne djelatnosti;</w:t>
      </w:r>
    </w:p>
    <w:p w:rsidR="00435AB2" w:rsidRPr="00BA1C52" w:rsidRDefault="00435AB2" w:rsidP="00BA1C52">
      <w:pPr>
        <w:pStyle w:val="ListParagraph"/>
        <w:numPr>
          <w:ilvl w:val="0"/>
          <w:numId w:val="22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privredna</w:t>
      </w:r>
      <w:proofErr w:type="gramEnd"/>
      <w:r w:rsidRPr="00BA1C52">
        <w:rPr>
          <w:rFonts w:ascii="Arial" w:hAnsi="Arial" w:cs="Arial"/>
        </w:rPr>
        <w:t xml:space="preserve">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S </w:t>
      </w:r>
      <w:proofErr w:type="gramStart"/>
      <w:r w:rsidRPr="00BA1C52">
        <w:rPr>
          <w:rFonts w:ascii="Arial" w:hAnsi="Arial" w:cs="Arial"/>
        </w:rPr>
        <w:t>tim</w:t>
      </w:r>
      <w:proofErr w:type="gramEnd"/>
      <w:r w:rsidRPr="00BA1C52">
        <w:rPr>
          <w:rFonts w:ascii="Arial" w:hAnsi="Arial" w:cs="Arial"/>
        </w:rPr>
        <w:t xml:space="preserve"> u vezi, u cilju dokazivanja da je ponuđač podoban da učestvuje u postupku javog nadmetanja, neophodno je dostaviti sljedeću dokumentaciju:</w:t>
      </w:r>
    </w:p>
    <w:p w:rsidR="00435AB2" w:rsidRPr="00BA1C52" w:rsidRDefault="00435AB2" w:rsidP="00BA1C52">
      <w:pPr>
        <w:numPr>
          <w:ilvl w:val="0"/>
          <w:numId w:val="28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Izvod iz sudskog, ili drugog odgovarajućeg registra države u kojoj ponuđač ima sjedište;</w:t>
      </w:r>
    </w:p>
    <w:p w:rsidR="00435AB2" w:rsidRPr="00BA1C52" w:rsidRDefault="00435AB2" w:rsidP="00BA1C52">
      <w:pPr>
        <w:numPr>
          <w:ilvl w:val="0"/>
          <w:numId w:val="29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dokaz da protiv privrednog društva, drugog pravnog lica i preduzetnika nije pokrenut postupak stečaja ili likvidacije - dokaz/potvrdu izdaje Privredni sud;</w:t>
      </w:r>
    </w:p>
    <w:p w:rsidR="00435AB2" w:rsidRPr="00BA1C52" w:rsidRDefault="00435AB2" w:rsidP="00BA1C52">
      <w:pPr>
        <w:numPr>
          <w:ilvl w:val="0"/>
          <w:numId w:val="29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dokaz da privredno društvo, drugo pravno lice, preduzetnik i fizičko lice nije pravosnažno osuđeno za krivično djelo izvršeno u vršenju profesionalne djelatnosti – dokaz/potvrdu izdaje Centralni registar privrednih subjekata Poreske uprave za privredna društva, druga pravna lica i preduzetnike, a za fizička lica dokaz/potvrdu izdaje nadležni Osnovni sud;</w:t>
      </w:r>
    </w:p>
    <w:p w:rsidR="00435AB2" w:rsidRPr="00BA1C52" w:rsidRDefault="00435AB2" w:rsidP="00BA1C52">
      <w:pPr>
        <w:numPr>
          <w:ilvl w:val="0"/>
          <w:numId w:val="29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dokaz da je privredno društvo, drugo pravno lice, preduzetnik i fizičko lice izmirilo obaveze po osnovu plaćanja poreza – dokaz/potvrda se izdaje od poreskog organa uprave u kojem je naznačeno da su izmirene obaveze po osnovu poreza;</w:t>
      </w:r>
    </w:p>
    <w:p w:rsidR="00435AB2" w:rsidRPr="00BA1C52" w:rsidRDefault="00435AB2" w:rsidP="00BA1C52">
      <w:pPr>
        <w:numPr>
          <w:ilvl w:val="0"/>
          <w:numId w:val="29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dokaz da privredno društvo, drugo pravno lice, preduzetnik i fizičko lice nema neizmirenih obaveza po osnovu kazni izrečenih u krivičnom ili prekršajnom postupku u periodu od najmanje tri godine prije objavljivanja javnog oglasa:</w:t>
      </w:r>
    </w:p>
    <w:p w:rsidR="00435AB2" w:rsidRPr="00BA1C52" w:rsidRDefault="00435AB2" w:rsidP="00BA1C52">
      <w:pPr>
        <w:numPr>
          <w:ilvl w:val="0"/>
          <w:numId w:val="30"/>
        </w:numPr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ponuđač kao privredno društvo, drugo pravno lice i preduzetnik:</w:t>
      </w:r>
    </w:p>
    <w:p w:rsidR="00435AB2" w:rsidRPr="00BA1C52" w:rsidRDefault="00435AB2" w:rsidP="00BA1C52">
      <w:pPr>
        <w:numPr>
          <w:ilvl w:val="1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dokaz/potvrda Centralnog registra privrednih subjekata Poreske uprave kojom se dokazuje da se ponuđač ne nalazi u kaznenoj evidenciji istog;</w:t>
      </w:r>
    </w:p>
    <w:p w:rsidR="00435AB2" w:rsidRPr="00BA1C52" w:rsidRDefault="00435AB2" w:rsidP="00BA1C52">
      <w:pPr>
        <w:numPr>
          <w:ilvl w:val="1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dokaz/potvrda područnog organa za prekršaje iz mjesta sjedišta ponuđača ili nadležnog organa, kojom se dokazuje da ponuđač nema neizmirenih obaveza po osnovu kazni izrečenih u prekršajnom postupku;</w:t>
      </w:r>
    </w:p>
    <w:p w:rsidR="00435AB2" w:rsidRPr="00BA1C52" w:rsidRDefault="00435AB2" w:rsidP="00BA1C52">
      <w:pPr>
        <w:pStyle w:val="ListParagraph"/>
        <w:numPr>
          <w:ilvl w:val="0"/>
          <w:numId w:val="30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ponuđač kao fizičko lice: </w:t>
      </w:r>
    </w:p>
    <w:p w:rsidR="00435AB2" w:rsidRPr="00BA1C52" w:rsidRDefault="00435AB2" w:rsidP="00BA1C52">
      <w:pPr>
        <w:pStyle w:val="ListParagraph"/>
        <w:numPr>
          <w:ilvl w:val="0"/>
          <w:numId w:val="3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dokaz/potvrda Ministarstva pravde kojom se dokazuje da je ponuđač izmirio obaveze po osnovu kazni izrečenih u krivičnom postupku;</w:t>
      </w:r>
    </w:p>
    <w:p w:rsidR="00435AB2" w:rsidRPr="00BA1C52" w:rsidRDefault="00435AB2" w:rsidP="00BA1C52">
      <w:pPr>
        <w:pStyle w:val="ListParagraph"/>
        <w:numPr>
          <w:ilvl w:val="0"/>
          <w:numId w:val="31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BA1C52">
        <w:rPr>
          <w:rFonts w:ascii="Arial" w:hAnsi="Arial" w:cs="Arial"/>
        </w:rPr>
        <w:t>dokaz/potvrda</w:t>
      </w:r>
      <w:proofErr w:type="gramEnd"/>
      <w:r w:rsidRPr="00BA1C52">
        <w:rPr>
          <w:rFonts w:ascii="Arial" w:hAnsi="Arial" w:cs="Arial"/>
        </w:rPr>
        <w:t xml:space="preserve"> Ministarstva pravde kojom se dokazuje da isto nema neizmirenih obaveza po osnovu kazni izrečenih u prekršajnom postupku.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Navedeni dokazi ne smiju biti stariji </w:t>
      </w:r>
      <w:proofErr w:type="gramStart"/>
      <w:r w:rsidRPr="00BA1C52">
        <w:rPr>
          <w:rFonts w:ascii="Arial" w:hAnsi="Arial" w:cs="Arial"/>
        </w:rPr>
        <w:t>od</w:t>
      </w:r>
      <w:proofErr w:type="gramEnd"/>
      <w:r w:rsidRPr="00BA1C52">
        <w:rPr>
          <w:rFonts w:ascii="Arial" w:hAnsi="Arial" w:cs="Arial"/>
        </w:rPr>
        <w:t xml:space="preserve"> devedeset (90) dana od dana objavljivanja oglasa.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Ukoliko država u kojoj ponuđač ima sjedište ne izdaje navedene dokaze, ovi dokazi mogu biti zamijenjeni izjavom ponuđača pod krivičnom i materijalnom odgovornošću, odnosno ukoliko u državi u </w:t>
      </w:r>
      <w:r w:rsidRPr="00BA1C52">
        <w:rPr>
          <w:rFonts w:ascii="Arial" w:hAnsi="Arial" w:cs="Arial"/>
        </w:rPr>
        <w:lastRenderedPageBreak/>
        <w:t xml:space="preserve">kojoj je sjedište ponuđača </w:t>
      </w:r>
      <w:proofErr w:type="gramStart"/>
      <w:r w:rsidRPr="00BA1C52">
        <w:rPr>
          <w:rFonts w:ascii="Arial" w:hAnsi="Arial" w:cs="Arial"/>
        </w:rPr>
        <w:t>nema</w:t>
      </w:r>
      <w:proofErr w:type="gramEnd"/>
      <w:r w:rsidRPr="00BA1C52">
        <w:rPr>
          <w:rFonts w:ascii="Arial" w:hAnsi="Arial" w:cs="Arial"/>
        </w:rPr>
        <w:t xml:space="preserve"> zakonskih odredbi koje se tiču izjava pod krivičnom i materijalnom odgovornošću, izjavom datom pred nadležnim sudskim ili upravnim organom ili notarom.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Pored navedenog, ponuđač je dužan dostaviti i: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3"/>
        </w:numPr>
        <w:spacing w:line="276" w:lineRule="auto"/>
        <w:ind w:left="0" w:firstLine="0"/>
        <w:jc w:val="both"/>
        <w:rPr>
          <w:rFonts w:ascii="Arial" w:eastAsiaTheme="minorEastAsia" w:hAnsi="Arial" w:cs="Arial"/>
          <w:sz w:val="22"/>
          <w:szCs w:val="22"/>
        </w:rPr>
      </w:pPr>
      <w:r w:rsidRPr="00BA1C52">
        <w:rPr>
          <w:rFonts w:ascii="Arial" w:eastAsiaTheme="minorEastAsia" w:hAnsi="Arial" w:cs="Arial"/>
          <w:sz w:val="22"/>
          <w:szCs w:val="22"/>
        </w:rPr>
        <w:t>Bankarsku garanciju ponude u skladu sa Uputstvom za podnošenje ponuda i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3"/>
        </w:numPr>
        <w:spacing w:line="276" w:lineRule="auto"/>
        <w:ind w:left="0" w:firstLine="0"/>
        <w:jc w:val="both"/>
        <w:rPr>
          <w:rFonts w:ascii="Arial" w:eastAsiaTheme="minorEastAsia" w:hAnsi="Arial" w:cs="Arial"/>
          <w:sz w:val="22"/>
          <w:szCs w:val="22"/>
        </w:rPr>
      </w:pPr>
      <w:r w:rsidRPr="00BA1C52">
        <w:rPr>
          <w:rFonts w:ascii="Arial" w:eastAsiaTheme="minorEastAsia" w:hAnsi="Arial" w:cs="Arial"/>
          <w:sz w:val="22"/>
          <w:szCs w:val="22"/>
        </w:rPr>
        <w:t>Popunjeni Obrazac iz Uputstva za podnošenje ponuda.</w:t>
      </w:r>
    </w:p>
    <w:p w:rsidR="00435AB2" w:rsidRPr="00BA1C52" w:rsidRDefault="00435AB2" w:rsidP="00BA1C5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1C52">
        <w:rPr>
          <w:rFonts w:ascii="Arial" w:eastAsiaTheme="minorEastAsia" w:hAnsi="Arial" w:cs="Arial"/>
          <w:sz w:val="22"/>
          <w:szCs w:val="22"/>
        </w:rPr>
        <w:t xml:space="preserve">U slučaju da Ponuđač nastupa kao konzorcijum kompanija, onda je za svakog člana konzorcijuma neophodno dostaviti dokaze kojima se potvrđuje da je član </w:t>
      </w:r>
      <w:r w:rsidRPr="00BA1C52">
        <w:rPr>
          <w:rFonts w:ascii="Arial" w:hAnsi="Arial" w:cs="Arial"/>
          <w:sz w:val="22"/>
          <w:szCs w:val="22"/>
        </w:rPr>
        <w:t>podoban da učestvuje u postupku javog nadmetanja, kao i ugovor o konzorcijumu, koji izričito predviđa: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4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A1C52">
        <w:rPr>
          <w:rFonts w:ascii="Arial" w:hAnsi="Arial" w:cs="Arial"/>
          <w:sz w:val="22"/>
          <w:szCs w:val="22"/>
        </w:rPr>
        <w:t xml:space="preserve">da će svi članovi konzorcijuma biti solidarno odgovorni za izvršenje Ugovora u skladu sa njegovim uslovima; 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4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A1C52">
        <w:rPr>
          <w:rFonts w:ascii="Arial" w:hAnsi="Arial" w:cs="Arial"/>
          <w:sz w:val="22"/>
          <w:szCs w:val="22"/>
        </w:rPr>
        <w:t>procenat učešća u konzorcijumu;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4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A1C52">
        <w:rPr>
          <w:rFonts w:ascii="Arial" w:hAnsi="Arial" w:cs="Arial"/>
          <w:sz w:val="22"/>
          <w:szCs w:val="22"/>
        </w:rPr>
        <w:t xml:space="preserve">obaveze svakog člana konzorcijuma i </w:t>
      </w:r>
    </w:p>
    <w:p w:rsidR="00435AB2" w:rsidRPr="00BA1C52" w:rsidRDefault="00435AB2" w:rsidP="00BA1C52">
      <w:pPr>
        <w:pStyle w:val="Default"/>
        <w:widowControl w:val="0"/>
        <w:numPr>
          <w:ilvl w:val="0"/>
          <w:numId w:val="24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BA1C52">
        <w:rPr>
          <w:rFonts w:ascii="Arial" w:hAnsi="Arial" w:cs="Arial"/>
          <w:sz w:val="22"/>
          <w:szCs w:val="22"/>
        </w:rPr>
        <w:t>ovlašćenje</w:t>
      </w:r>
      <w:proofErr w:type="gramEnd"/>
      <w:r w:rsidRPr="00BA1C52">
        <w:rPr>
          <w:rFonts w:ascii="Arial" w:hAnsi="Arial" w:cs="Arial"/>
          <w:sz w:val="22"/>
          <w:szCs w:val="22"/>
        </w:rPr>
        <w:t xml:space="preserve"> jednog člana koji će istupati u ime konzorcijuma. </w:t>
      </w:r>
    </w:p>
    <w:p w:rsidR="00435AB2" w:rsidRPr="00BA1C52" w:rsidRDefault="00435AB2" w:rsidP="00BA1C5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35AB2" w:rsidRDefault="00435AB2" w:rsidP="00BA1C5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A1C52">
        <w:rPr>
          <w:rFonts w:ascii="Arial" w:hAnsi="Arial" w:cs="Arial"/>
          <w:sz w:val="22"/>
          <w:szCs w:val="22"/>
        </w:rPr>
        <w:t>Vlasnička struktura u koncesionom društvu mora odgovarati procentu učešća članova u konzorcijumu utvđenom prilikom podnošenja ponude i ista se ne može mijenjati bez saglasnosti koncedenta.</w:t>
      </w:r>
      <w:proofErr w:type="gramEnd"/>
    </w:p>
    <w:p w:rsidR="00D469C6" w:rsidRPr="00BA1C52" w:rsidRDefault="00D469C6" w:rsidP="00BA1C5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50" w:name="_Toc390549929"/>
      <w:bookmarkStart w:id="51" w:name="_Toc401959459"/>
      <w:bookmarkStart w:id="52" w:name="_Toc401959552"/>
      <w:bookmarkStart w:id="53" w:name="_Toc435529040"/>
      <w:bookmarkStart w:id="54" w:name="_Toc436124917"/>
      <w:proofErr w:type="gramStart"/>
      <w:r w:rsidRPr="00BA1C52">
        <w:rPr>
          <w:i w:val="0"/>
          <w:sz w:val="22"/>
          <w:szCs w:val="22"/>
          <w:u w:val="single"/>
        </w:rPr>
        <w:t>13.2  Javni</w:t>
      </w:r>
      <w:proofErr w:type="gramEnd"/>
      <w:r w:rsidRPr="00BA1C52">
        <w:rPr>
          <w:i w:val="0"/>
          <w:sz w:val="22"/>
          <w:szCs w:val="22"/>
          <w:u w:val="single"/>
        </w:rPr>
        <w:t xml:space="preserve"> oglas</w:t>
      </w:r>
      <w:bookmarkEnd w:id="50"/>
      <w:bookmarkEnd w:id="51"/>
      <w:bookmarkEnd w:id="52"/>
      <w:bookmarkEnd w:id="53"/>
      <w:bookmarkEnd w:id="54"/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Javni oglas, u skladu sa članom 21 Zakona o koncesijama, objavljuje se u “Službenom listu Crne Gore”, najmanje u jednom dnevnom štampanom mediju koji se distribuira na teritoriji cijele Crne Gore i na Internet stranici nadležnog organa, odnosno, u ovom slučaju Ministarstva ekonomije.</w:t>
      </w:r>
    </w:p>
    <w:p w:rsidR="00435AB2" w:rsidRDefault="00435AB2" w:rsidP="00BA1C52">
      <w:pPr>
        <w:spacing w:after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Javni oglas za dodjelu predmetne koncesije sadrži sljedeće:</w:t>
      </w:r>
    </w:p>
    <w:p w:rsidR="00D469C6" w:rsidRPr="00BA1C52" w:rsidRDefault="00D469C6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opis predmeta koncesije, granice istražno-eksploatacionog prostora;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osnovne elemente Koncesionog akta;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adresu i rok za dostavljanje ponude na Javni oglas (rok se određuje prema periodu za pripremu ponude i teče od dana objavljivanja javnog oglasa u „Službenom listu Crne Gore“ i ne može biti kraći od 30 dana);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kriterijume za učešće na Javnom oglasu i mogućnost podnošenja zajedničke ponude;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pravila prema kojima se Javni oglas sprovodi;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način dostavljanja ponude;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moguće vrijeme posjete lokacije na kojoj će se vršiti koncesiona djelatnost;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datum, vrijeme i mjesto otvaranja prispjelih ponuda na Javni oglas;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rok u kome se ponuda na Javni oglas može povući;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određivanje vrste ponude (tehničke i finansijske ili samo finansijske ponude);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podatke o visini i obliku depozita i garancije i perioda za koji se traže;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uslove, rok i način vraćanja depozita i garancije;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ime lica zaduženog za davanje relevantnih informacija u postupku Javnog oglasa;</w:t>
      </w:r>
    </w:p>
    <w:p w:rsidR="00435AB2" w:rsidRPr="00BA1C52" w:rsidRDefault="00435AB2" w:rsidP="00BA1C52">
      <w:pPr>
        <w:numPr>
          <w:ilvl w:val="0"/>
          <w:numId w:val="25"/>
        </w:numPr>
        <w:spacing w:after="0"/>
        <w:ind w:left="0" w:firstLine="0"/>
        <w:jc w:val="both"/>
        <w:rPr>
          <w:rFonts w:ascii="Arial" w:hAnsi="Arial" w:cs="Arial"/>
        </w:rPr>
      </w:pPr>
      <w:proofErr w:type="gramStart"/>
      <w:r w:rsidRPr="00BA1C52">
        <w:rPr>
          <w:rFonts w:ascii="Arial" w:eastAsia="Times New Roman" w:hAnsi="Arial" w:cs="Arial"/>
        </w:rPr>
        <w:t>mjesto</w:t>
      </w:r>
      <w:proofErr w:type="gramEnd"/>
      <w:r w:rsidRPr="00BA1C52">
        <w:rPr>
          <w:rFonts w:ascii="Arial" w:eastAsia="Times New Roman" w:hAnsi="Arial" w:cs="Arial"/>
        </w:rPr>
        <w:t xml:space="preserve"> na kojem se može i vrijeme u kojem se može preuzeti Koncesioni akt i Tenderska dokumentacija, kao i cijena Tenderske dokumentacije u visini troškova njene izrade.</w:t>
      </w:r>
    </w:p>
    <w:p w:rsidR="00435AB2" w:rsidRPr="00BA1C52" w:rsidRDefault="00435AB2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Default="00435AB2" w:rsidP="00BA1C52">
      <w:pPr>
        <w:spacing w:after="0"/>
        <w:jc w:val="both"/>
        <w:rPr>
          <w:rFonts w:ascii="Arial" w:eastAsia="Times New Roman" w:hAnsi="Arial" w:cs="Arial"/>
        </w:rPr>
      </w:pPr>
      <w:proofErr w:type="gramStart"/>
      <w:r w:rsidRPr="00BA1C52">
        <w:rPr>
          <w:rFonts w:ascii="Arial" w:eastAsia="Times New Roman" w:hAnsi="Arial" w:cs="Arial"/>
        </w:rPr>
        <w:t>Javni oglas, nakon objavljivanja, nadležni organ može izmijeniti, osim elemenata utvrđenih Koncesionim aktom.</w:t>
      </w:r>
      <w:proofErr w:type="gramEnd"/>
      <w:r w:rsidRPr="00BA1C52">
        <w:rPr>
          <w:rFonts w:ascii="Arial" w:eastAsia="Times New Roman" w:hAnsi="Arial" w:cs="Arial"/>
        </w:rPr>
        <w:t xml:space="preserve"> Izmjena Javnog oglasa se objavljuje </w:t>
      </w:r>
      <w:proofErr w:type="gramStart"/>
      <w:r w:rsidRPr="00BA1C52">
        <w:rPr>
          <w:rFonts w:ascii="Arial" w:eastAsia="Times New Roman" w:hAnsi="Arial" w:cs="Arial"/>
        </w:rPr>
        <w:t>na</w:t>
      </w:r>
      <w:proofErr w:type="gramEnd"/>
      <w:r w:rsidRPr="00BA1C52">
        <w:rPr>
          <w:rFonts w:ascii="Arial" w:eastAsia="Times New Roman" w:hAnsi="Arial" w:cs="Arial"/>
        </w:rPr>
        <w:t xml:space="preserve"> način na koji je objavljen osnovni tekst Javnog oglasa, s tim što se rok za dostavljanje ponuda produžava za vrijeme koje je proteklo od dana objavljivanja Javnog oglasa.</w:t>
      </w:r>
      <w:bookmarkStart w:id="55" w:name="_Toc390549930"/>
    </w:p>
    <w:p w:rsidR="00D469C6" w:rsidRPr="00BA1C52" w:rsidRDefault="00D469C6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56" w:name="_Toc401959460"/>
      <w:bookmarkStart w:id="57" w:name="_Toc401959553"/>
      <w:bookmarkStart w:id="58" w:name="_Toc435529041"/>
      <w:bookmarkStart w:id="59" w:name="_Toc436124918"/>
      <w:proofErr w:type="gramStart"/>
      <w:r w:rsidRPr="00BA1C52">
        <w:rPr>
          <w:i w:val="0"/>
          <w:sz w:val="22"/>
          <w:szCs w:val="22"/>
          <w:u w:val="single"/>
        </w:rPr>
        <w:lastRenderedPageBreak/>
        <w:t>13.3  Ugovor</w:t>
      </w:r>
      <w:proofErr w:type="gramEnd"/>
      <w:r w:rsidRPr="00BA1C52">
        <w:rPr>
          <w:i w:val="0"/>
          <w:sz w:val="22"/>
          <w:szCs w:val="22"/>
          <w:u w:val="single"/>
        </w:rPr>
        <w:t xml:space="preserve"> o koncesiji</w:t>
      </w:r>
      <w:bookmarkEnd w:id="55"/>
      <w:bookmarkEnd w:id="56"/>
      <w:bookmarkEnd w:id="57"/>
      <w:bookmarkEnd w:id="58"/>
      <w:bookmarkEnd w:id="59"/>
    </w:p>
    <w:p w:rsidR="003144E1" w:rsidRPr="00BA1C52" w:rsidRDefault="003144E1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eastAsia="Times New Roman" w:hAnsi="Arial" w:cs="Arial"/>
        </w:rPr>
        <w:t>Sastavni dio Tenederske dokumentacije je i Nacrt</w:t>
      </w:r>
      <w:r w:rsidRPr="00BA1C52">
        <w:rPr>
          <w:rFonts w:ascii="Arial" w:hAnsi="Arial" w:cs="Arial"/>
        </w:rPr>
        <w:t xml:space="preserve"> ugovora o koncesiji, koji je dat kao Prilog Koncesionog akta.</w:t>
      </w:r>
      <w:proofErr w:type="gramEnd"/>
    </w:p>
    <w:p w:rsidR="00773AE0" w:rsidRPr="00BA1C52" w:rsidRDefault="00773AE0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2"/>
        <w:numPr>
          <w:ilvl w:val="1"/>
          <w:numId w:val="0"/>
        </w:numPr>
        <w:spacing w:before="0" w:after="0"/>
        <w:jc w:val="both"/>
        <w:rPr>
          <w:i w:val="0"/>
          <w:sz w:val="22"/>
          <w:szCs w:val="22"/>
          <w:u w:val="single"/>
        </w:rPr>
      </w:pPr>
      <w:bookmarkStart w:id="60" w:name="_Toc390549931"/>
      <w:bookmarkStart w:id="61" w:name="_Toc401959461"/>
      <w:bookmarkStart w:id="62" w:name="_Toc401959554"/>
      <w:bookmarkStart w:id="63" w:name="_Toc435529042"/>
      <w:bookmarkStart w:id="64" w:name="_Toc436124919"/>
      <w:proofErr w:type="gramStart"/>
      <w:r w:rsidRPr="00BA1C52">
        <w:rPr>
          <w:i w:val="0"/>
          <w:sz w:val="22"/>
          <w:szCs w:val="22"/>
          <w:u w:val="single"/>
        </w:rPr>
        <w:t>13.4  Uputstvo</w:t>
      </w:r>
      <w:proofErr w:type="gramEnd"/>
      <w:r w:rsidRPr="00BA1C52">
        <w:rPr>
          <w:i w:val="0"/>
          <w:sz w:val="22"/>
          <w:szCs w:val="22"/>
          <w:u w:val="single"/>
        </w:rPr>
        <w:t xml:space="preserve"> za podnošenje ponuda</w:t>
      </w:r>
      <w:bookmarkEnd w:id="60"/>
      <w:bookmarkEnd w:id="61"/>
      <w:bookmarkEnd w:id="62"/>
      <w:bookmarkEnd w:id="63"/>
      <w:bookmarkEnd w:id="64"/>
    </w:p>
    <w:p w:rsidR="003144E1" w:rsidRPr="00BA1C52" w:rsidRDefault="003144E1" w:rsidP="00BA1C52">
      <w:pPr>
        <w:spacing w:after="0"/>
        <w:jc w:val="both"/>
        <w:rPr>
          <w:rFonts w:ascii="Arial" w:eastAsia="Times New Roman" w:hAnsi="Arial" w:cs="Arial"/>
        </w:rPr>
      </w:pPr>
    </w:p>
    <w:p w:rsidR="00435AB2" w:rsidRDefault="00435AB2" w:rsidP="00BA1C52">
      <w:pPr>
        <w:spacing w:after="0"/>
        <w:jc w:val="both"/>
        <w:rPr>
          <w:rFonts w:ascii="Arial" w:hAnsi="Arial" w:cs="Arial"/>
        </w:rPr>
      </w:pPr>
      <w:proofErr w:type="gramStart"/>
      <w:r w:rsidRPr="00BA1C52">
        <w:rPr>
          <w:rFonts w:ascii="Arial" w:eastAsia="Times New Roman" w:hAnsi="Arial" w:cs="Arial"/>
        </w:rPr>
        <w:t xml:space="preserve">Sastavni dio Tenederske dokumentacije je i </w:t>
      </w:r>
      <w:r w:rsidRPr="00BA1C52">
        <w:rPr>
          <w:rFonts w:ascii="Arial" w:hAnsi="Arial" w:cs="Arial"/>
        </w:rPr>
        <w:t>Uputstvo za podnošenje ponuda, koji je dato kao Prilog Koncesionog akta.</w:t>
      </w:r>
      <w:proofErr w:type="gramEnd"/>
    </w:p>
    <w:p w:rsidR="00D469C6" w:rsidRPr="00BA1C52" w:rsidRDefault="00D469C6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Heading1"/>
        <w:spacing w:before="0" w:after="0"/>
        <w:jc w:val="both"/>
        <w:rPr>
          <w:sz w:val="22"/>
          <w:szCs w:val="22"/>
        </w:rPr>
      </w:pPr>
      <w:bookmarkStart w:id="65" w:name="_Toc401959462"/>
      <w:bookmarkStart w:id="66" w:name="_Toc401959555"/>
      <w:bookmarkStart w:id="67" w:name="_Toc435529043"/>
      <w:bookmarkStart w:id="68" w:name="_Toc436124920"/>
      <w:r w:rsidRPr="00BA1C52">
        <w:rPr>
          <w:sz w:val="22"/>
          <w:szCs w:val="22"/>
        </w:rPr>
        <w:t xml:space="preserve">14 SPISAK PROPISA KOJI SE PRIMIJENJUJU U POSTUPKU DAVANJA KONCESIJE I U VRŠENJU KONCESIONE DJELATNOSTI </w:t>
      </w:r>
      <w:bookmarkEnd w:id="65"/>
      <w:bookmarkEnd w:id="66"/>
      <w:bookmarkEnd w:id="67"/>
      <w:bookmarkEnd w:id="68"/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spacing w:after="0"/>
        <w:jc w:val="both"/>
        <w:rPr>
          <w:rFonts w:ascii="Arial" w:eastAsia="Times New Roman" w:hAnsi="Arial" w:cs="Arial"/>
        </w:rPr>
      </w:pPr>
      <w:r w:rsidRPr="00BA1C52">
        <w:rPr>
          <w:rFonts w:ascii="Arial" w:hAnsi="Arial" w:cs="Arial"/>
        </w:rPr>
        <w:t>P</w:t>
      </w:r>
      <w:r w:rsidRPr="00BA1C52">
        <w:rPr>
          <w:rFonts w:ascii="Arial" w:eastAsia="Times New Roman" w:hAnsi="Arial" w:cs="Arial"/>
        </w:rPr>
        <w:t>ropisi koji se primijenjuju u postupku</w:t>
      </w:r>
      <w:r w:rsidRPr="00BA1C52">
        <w:rPr>
          <w:rFonts w:ascii="Arial" w:hAnsi="Arial" w:cs="Arial"/>
        </w:rPr>
        <w:t xml:space="preserve"> davanja koncesije i</w:t>
      </w:r>
      <w:r w:rsidRPr="00BA1C52">
        <w:rPr>
          <w:rFonts w:ascii="Arial" w:eastAsia="Times New Roman" w:hAnsi="Arial" w:cs="Arial"/>
        </w:rPr>
        <w:t xml:space="preserve"> vršenja koncesione djelatnosti: </w:t>
      </w:r>
    </w:p>
    <w:p w:rsidR="00435AB2" w:rsidRPr="00BA1C52" w:rsidRDefault="00435AB2" w:rsidP="00BA1C52">
      <w:pPr>
        <w:numPr>
          <w:ilvl w:val="0"/>
          <w:numId w:val="27"/>
        </w:numPr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eastAsia="Times New Roman" w:hAnsi="Arial" w:cs="Arial"/>
        </w:rPr>
        <w:t>Zakon o koncesijama (“Sl. list CG”, br. 08/09);</w:t>
      </w:r>
    </w:p>
    <w:p w:rsidR="00435AB2" w:rsidRPr="00BA1C52" w:rsidRDefault="00435AB2" w:rsidP="00BA1C52">
      <w:pPr>
        <w:numPr>
          <w:ilvl w:val="0"/>
          <w:numId w:val="27"/>
        </w:numPr>
        <w:spacing w:after="0"/>
        <w:ind w:left="0" w:firstLine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 xml:space="preserve">Uredba </w:t>
      </w:r>
      <w:r w:rsidRPr="00BA1C52">
        <w:rPr>
          <w:rFonts w:ascii="Arial" w:hAnsi="Arial" w:cs="Arial"/>
          <w:color w:val="333333"/>
        </w:rPr>
        <w:t>o bližem načinu sprovođenja postupka javnog nadmetanja u otvorenom i</w:t>
      </w:r>
      <w:r w:rsidRPr="00BA1C52">
        <w:rPr>
          <w:rFonts w:ascii="Arial" w:hAnsi="Arial" w:cs="Arial"/>
        </w:rPr>
        <w:t xml:space="preserve"> </w:t>
      </w:r>
      <w:r w:rsidRPr="00BA1C52">
        <w:rPr>
          <w:rFonts w:ascii="Arial" w:hAnsi="Arial" w:cs="Arial"/>
          <w:color w:val="333333"/>
        </w:rPr>
        <w:t xml:space="preserve">dvostepenom postupku davanja koncesije </w:t>
      </w:r>
      <w:r w:rsidRPr="00BA1C52">
        <w:rPr>
          <w:rFonts w:ascii="Arial" w:eastAsia="Times New Roman" w:hAnsi="Arial" w:cs="Arial"/>
        </w:rPr>
        <w:t>(“Sl. list CG”, br. 08/09);</w:t>
      </w:r>
    </w:p>
    <w:p w:rsidR="00435AB2" w:rsidRPr="00BA1C52" w:rsidRDefault="00435AB2" w:rsidP="00BA1C52">
      <w:pPr>
        <w:numPr>
          <w:ilvl w:val="0"/>
          <w:numId w:val="27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rudarstvu („Sl. list CG“, br. 65/08, 74/10 i 40/11);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geološkim istraživanjima (‘’Sl. list RCG’’, br. 28/93, 27/94, 42/94 i 26/07 i „Sl. list CG“, br. 28/11);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zaštiti na radu (‘’Sl. list RCG’’, br. 79/04 i „Sl. list CG“, br. 26/10 i 40/11)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procjeni uticaja na životnu sredinu („Sl. list RCG“, br. 80/05 i „Sl. list CG“, br. 40/10, 73/10, 40/11 i 27/13);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uređenju prostora i izgradnji objekata (“Sl. list CG”, br. 51/08, 40/10, 34/11, 40/11, 47/11, 35/13 i 39/13);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Zakon o državnoj imovini (“Sl. list CG”, br. 21/09 i 40/11);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Uredba o kriterijumima i načinu obračuna iznosa minimalne koncesione naknade za ustupanje prava na istraživanje i eksploataciju mineralnih sirovina („Sl. list CG“, br. 37/11);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Uredba o visini sredstava za sanaciju i rekultivaciju prostora na kojem se izvode rudarski radovi, način obračunavanja, plaćanja i korišćenja tih sredstava („Sl. list CG“, br. 51/11);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Pravlnik o klasifikaciji, kategorizaciji i proračunu rezervi čvrstih mineralnih sirovina i vođenju evidencije o njima („Sl. list SFRJ“, br. 53/79);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Pravilnik o rudarskim mjerenjima („Sl. list RCG“, br. 26/94);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Pravilnik o izradi projekata geoloških istraživanja („Sl. list SRCG“, br. 09/85 i 16/85);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Pravilnik o sadržini rudarskih projekata („Sl. list CG“, br. 74/09);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Pravilnik o tehničkim normativima za površinsku eksploataciju ležišta mineralnih sirovina („Sl. list SFRJ“, br. 62/87);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>Pravilnik o tehničkim normativima za površinsku eksploataciju arhitektonsko-građevinskog (ukrasnog) kamena, tehničko-građevinskog kamena, šljunka i pijeska i preradu arhitektonsko-građevinskog (ukrasnog) kamena („Sl. list SFRJ“, br. 11/86);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r w:rsidRPr="00BA1C52">
        <w:rPr>
          <w:rFonts w:ascii="Arial" w:eastAsia="Times New Roman" w:hAnsi="Arial" w:cs="Arial"/>
        </w:rPr>
        <w:t xml:space="preserve">Uputstvo o izradi godišnjeg tehničkog izvještaja i godišnjeg finansijskog izvještaja o poslovanju koncesionara koji imaju pravo na eksploataciju mineralnih sirovina („Sl. list RCG“, br. 10/95) i </w:t>
      </w:r>
    </w:p>
    <w:p w:rsidR="00435AB2" w:rsidRPr="00BA1C52" w:rsidRDefault="00435AB2" w:rsidP="00BA1C52">
      <w:pPr>
        <w:numPr>
          <w:ilvl w:val="0"/>
          <w:numId w:val="26"/>
        </w:numPr>
        <w:spacing w:after="0"/>
        <w:ind w:left="0" w:firstLine="0"/>
        <w:jc w:val="both"/>
        <w:rPr>
          <w:rFonts w:ascii="Arial" w:eastAsia="Times New Roman" w:hAnsi="Arial" w:cs="Arial"/>
        </w:rPr>
      </w:pPr>
      <w:proofErr w:type="gramStart"/>
      <w:r w:rsidRPr="00BA1C52">
        <w:rPr>
          <w:rFonts w:ascii="Arial" w:eastAsia="Times New Roman" w:hAnsi="Arial" w:cs="Arial"/>
        </w:rPr>
        <w:t>ostali</w:t>
      </w:r>
      <w:proofErr w:type="gramEnd"/>
      <w:r w:rsidRPr="00BA1C52">
        <w:rPr>
          <w:rFonts w:ascii="Arial" w:eastAsia="Times New Roman" w:hAnsi="Arial" w:cs="Arial"/>
        </w:rPr>
        <w:t xml:space="preserve"> propisi</w:t>
      </w:r>
      <w:r w:rsidR="003144E1" w:rsidRPr="00BA1C52">
        <w:rPr>
          <w:rFonts w:ascii="Arial" w:eastAsia="Times New Roman" w:hAnsi="Arial" w:cs="Arial"/>
        </w:rPr>
        <w:t>.</w:t>
      </w:r>
    </w:p>
    <w:p w:rsidR="0036485F" w:rsidRPr="00BA1C52" w:rsidRDefault="0036485F" w:rsidP="00BA1C52">
      <w:pPr>
        <w:spacing w:after="0"/>
        <w:jc w:val="both"/>
        <w:rPr>
          <w:rFonts w:ascii="Arial" w:eastAsia="Times New Roman" w:hAnsi="Arial" w:cs="Arial"/>
        </w:rPr>
      </w:pPr>
    </w:p>
    <w:p w:rsidR="0036485F" w:rsidRPr="00BA1C52" w:rsidRDefault="0036485F" w:rsidP="00BA1C52">
      <w:pPr>
        <w:spacing w:after="0"/>
        <w:jc w:val="both"/>
        <w:rPr>
          <w:rFonts w:ascii="Arial" w:eastAsia="Times New Roman" w:hAnsi="Arial" w:cs="Arial"/>
        </w:rPr>
      </w:pPr>
    </w:p>
    <w:p w:rsidR="0036485F" w:rsidRPr="00BA1C52" w:rsidRDefault="0036485F" w:rsidP="00BA1C52">
      <w:pPr>
        <w:spacing w:after="0"/>
        <w:jc w:val="both"/>
        <w:rPr>
          <w:rFonts w:ascii="Arial" w:eastAsia="Times New Roman" w:hAnsi="Arial" w:cs="Arial"/>
        </w:rPr>
      </w:pPr>
    </w:p>
    <w:p w:rsidR="002177CB" w:rsidRDefault="002177CB" w:rsidP="00BA1C52">
      <w:pPr>
        <w:spacing w:after="0"/>
        <w:jc w:val="both"/>
        <w:rPr>
          <w:rFonts w:ascii="Arial" w:eastAsia="Times New Roman" w:hAnsi="Arial" w:cs="Arial"/>
        </w:rPr>
      </w:pPr>
      <w:bookmarkStart w:id="69" w:name="_GoBack"/>
      <w:bookmarkEnd w:id="69"/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bCs/>
        </w:rPr>
      </w:pPr>
      <w:r w:rsidRPr="00BA1C52">
        <w:rPr>
          <w:rFonts w:ascii="Arial" w:hAnsi="Arial" w:cs="Arial"/>
          <w:b/>
          <w:bCs/>
        </w:rPr>
        <w:lastRenderedPageBreak/>
        <w:t xml:space="preserve"> P R I L O Z I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  <w:b/>
          <w:bCs/>
        </w:rPr>
      </w:pPr>
    </w:p>
    <w:p w:rsidR="00435AB2" w:rsidRDefault="002177CB" w:rsidP="00BA1C52">
      <w:pPr>
        <w:spacing w:after="0"/>
        <w:jc w:val="both"/>
        <w:rPr>
          <w:rFonts w:ascii="Arial" w:hAnsi="Arial" w:cs="Arial"/>
        </w:rPr>
      </w:pPr>
      <w:r w:rsidRPr="002177CB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Javni oglas</w:t>
      </w:r>
    </w:p>
    <w:p w:rsidR="002177CB" w:rsidRPr="00BA1C52" w:rsidRDefault="002177CB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2177CB" w:rsidP="00BA1C5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435AB2" w:rsidRPr="00BA1C52">
        <w:rPr>
          <w:rFonts w:ascii="Arial" w:hAnsi="Arial" w:cs="Arial"/>
          <w:b/>
        </w:rPr>
        <w:t xml:space="preserve">. </w:t>
      </w:r>
      <w:r w:rsidR="00DE439D">
        <w:rPr>
          <w:rFonts w:ascii="Arial" w:hAnsi="Arial" w:cs="Arial"/>
        </w:rPr>
        <w:t xml:space="preserve"> Predlog </w:t>
      </w:r>
      <w:r w:rsidR="00676641" w:rsidRPr="00BA1C52">
        <w:rPr>
          <w:rFonts w:ascii="Arial" w:hAnsi="Arial" w:cs="Arial"/>
        </w:rPr>
        <w:t xml:space="preserve">Ugovora </w:t>
      </w:r>
    </w:p>
    <w:p w:rsidR="00435AB2" w:rsidRPr="00BA1C52" w:rsidRDefault="00435AB2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2177CB" w:rsidP="00BA1C5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435AB2" w:rsidRPr="00BA1C52">
        <w:rPr>
          <w:rFonts w:ascii="Arial" w:hAnsi="Arial" w:cs="Arial"/>
          <w:b/>
        </w:rPr>
        <w:t>.</w:t>
      </w:r>
      <w:r w:rsidR="00435AB2" w:rsidRPr="00BA1C52">
        <w:rPr>
          <w:rFonts w:ascii="Arial" w:hAnsi="Arial" w:cs="Arial"/>
        </w:rPr>
        <w:t xml:space="preserve">  Prilozi i uputstva</w:t>
      </w:r>
    </w:p>
    <w:p w:rsidR="003144E1" w:rsidRPr="00BA1C52" w:rsidRDefault="003144E1" w:rsidP="00BA1C52">
      <w:pPr>
        <w:spacing w:after="0"/>
        <w:jc w:val="both"/>
        <w:rPr>
          <w:rFonts w:ascii="Arial" w:hAnsi="Arial" w:cs="Arial"/>
        </w:rPr>
      </w:pP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Obrazac A – Podaci o ponuđaču</w:t>
      </w: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Obrazac B – Tehnička ponuda</w:t>
      </w: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Obrazac C – Forma bankarske garancije za ponudu</w:t>
      </w: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Prilog 1-obrazac bankarske garancije za Fazu detaljnih geoloških istraživanja</w:t>
      </w: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Prilog 2 –obrazac bankarske garancije za ispunjavanje ugovornih obaveza</w:t>
      </w:r>
    </w:p>
    <w:p w:rsidR="00435AB2" w:rsidRPr="00BA1C52" w:rsidRDefault="00435AB2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Prilog 3-obrazac bankarske garancije za rekultivaciju</w:t>
      </w:r>
    </w:p>
    <w:p w:rsidR="003144E1" w:rsidRPr="00BA1C52" w:rsidRDefault="003144E1" w:rsidP="00BA1C5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BA1C52">
        <w:rPr>
          <w:rFonts w:ascii="Arial" w:hAnsi="Arial" w:cs="Arial"/>
        </w:rPr>
        <w:t>Prilog 4 Uputstvo za podnošenje ponuda</w:t>
      </w:r>
    </w:p>
    <w:p w:rsidR="00476EC9" w:rsidRPr="00BA1C52" w:rsidRDefault="00476EC9" w:rsidP="00BA1C52">
      <w:pPr>
        <w:spacing w:after="0"/>
        <w:jc w:val="both"/>
        <w:rPr>
          <w:rFonts w:ascii="Arial" w:hAnsi="Arial" w:cs="Arial"/>
        </w:rPr>
      </w:pPr>
    </w:p>
    <w:p w:rsidR="00476EC9" w:rsidRPr="00BA1C52" w:rsidRDefault="00476EC9" w:rsidP="00BA1C52">
      <w:pPr>
        <w:spacing w:after="0"/>
        <w:jc w:val="both"/>
        <w:rPr>
          <w:rFonts w:ascii="Arial" w:hAnsi="Arial" w:cs="Arial"/>
        </w:rPr>
      </w:pPr>
    </w:p>
    <w:p w:rsidR="003144E1" w:rsidRPr="00131F3A" w:rsidRDefault="003144E1" w:rsidP="003144E1">
      <w:pPr>
        <w:pStyle w:val="ListParagraph"/>
        <w:spacing w:after="0" w:line="240" w:lineRule="auto"/>
        <w:jc w:val="both"/>
        <w:rPr>
          <w:rFonts w:cs="Calibri"/>
        </w:rPr>
      </w:pPr>
    </w:p>
    <w:p w:rsidR="000C4174" w:rsidRPr="00435AB2" w:rsidRDefault="000C4174">
      <w:pPr>
        <w:rPr>
          <w:lang w:val="sr-Latn-CS"/>
        </w:rPr>
      </w:pPr>
    </w:p>
    <w:sectPr w:rsidR="000C4174" w:rsidRPr="00435AB2" w:rsidSect="00BA1C52">
      <w:footerReference w:type="default" r:id="rId9"/>
      <w:pgSz w:w="12240" w:h="15840"/>
      <w:pgMar w:top="851" w:right="1021" w:bottom="851" w:left="102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251" w:rsidRDefault="00506251" w:rsidP="00435AB2">
      <w:pPr>
        <w:spacing w:after="0" w:line="240" w:lineRule="auto"/>
      </w:pPr>
      <w:r>
        <w:separator/>
      </w:r>
    </w:p>
  </w:endnote>
  <w:endnote w:type="continuationSeparator" w:id="0">
    <w:p w:rsidR="00506251" w:rsidRDefault="00506251" w:rsidP="0043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773AE0">
      <w:tc>
        <w:tcPr>
          <w:tcW w:w="918" w:type="dxa"/>
        </w:tcPr>
        <w:p w:rsidR="00773AE0" w:rsidRPr="00435AB2" w:rsidRDefault="00773AE0">
          <w:pPr>
            <w:pStyle w:val="Footer"/>
            <w:jc w:val="right"/>
            <w:rPr>
              <w:b/>
              <w:color w:val="4F81BD" w:themeColor="accent1"/>
              <w:sz w:val="20"/>
              <w:szCs w:val="20"/>
            </w:rPr>
          </w:pPr>
          <w:r w:rsidRPr="00435AB2">
            <w:rPr>
              <w:sz w:val="20"/>
              <w:szCs w:val="20"/>
            </w:rPr>
            <w:fldChar w:fldCharType="begin"/>
          </w:r>
          <w:r w:rsidRPr="00435AB2">
            <w:rPr>
              <w:sz w:val="20"/>
              <w:szCs w:val="20"/>
            </w:rPr>
            <w:instrText xml:space="preserve"> PAGE   \* MERGEFORMAT </w:instrText>
          </w:r>
          <w:r w:rsidRPr="00435AB2">
            <w:rPr>
              <w:sz w:val="20"/>
              <w:szCs w:val="20"/>
            </w:rPr>
            <w:fldChar w:fldCharType="separate"/>
          </w:r>
          <w:r w:rsidRPr="00773AE0">
            <w:rPr>
              <w:b/>
              <w:noProof/>
              <w:color w:val="4F81BD" w:themeColor="accent1"/>
              <w:sz w:val="20"/>
              <w:szCs w:val="20"/>
            </w:rPr>
            <w:t>2</w:t>
          </w:r>
          <w:r w:rsidRPr="00435AB2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773AE0" w:rsidRPr="00832EAF" w:rsidRDefault="00773AE0" w:rsidP="00435AB2">
          <w:pPr>
            <w:pStyle w:val="Footer"/>
            <w:jc w:val="both"/>
            <w:rPr>
              <w:sz w:val="18"/>
              <w:szCs w:val="18"/>
            </w:rPr>
          </w:pPr>
          <w:r w:rsidRPr="00832EAF">
            <w:rPr>
              <w:sz w:val="18"/>
              <w:szCs w:val="18"/>
            </w:rPr>
            <w:t xml:space="preserve">Koncesioni akt o pojavi mineralne sirovine tehničko-građevinskog kamena (vulkaniti) “Bistrica”, opština Berane </w:t>
          </w:r>
        </w:p>
      </w:tc>
    </w:tr>
  </w:tbl>
  <w:p w:rsidR="00773AE0" w:rsidRDefault="00773A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251" w:rsidRDefault="00506251" w:rsidP="00435AB2">
      <w:pPr>
        <w:spacing w:after="0" w:line="240" w:lineRule="auto"/>
      </w:pPr>
      <w:r>
        <w:separator/>
      </w:r>
    </w:p>
  </w:footnote>
  <w:footnote w:type="continuationSeparator" w:id="0">
    <w:p w:rsidR="00506251" w:rsidRDefault="00506251" w:rsidP="00435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8"/>
    <w:multiLevelType w:val="multilevel"/>
    <w:tmpl w:val="00000008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multilevel"/>
    <w:tmpl w:val="0000000A"/>
    <w:name w:val="WW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B"/>
    <w:multiLevelType w:val="multilevel"/>
    <w:tmpl w:val="0000000B"/>
    <w:name w:val="WW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F"/>
    <w:multiLevelType w:val="multilevel"/>
    <w:tmpl w:val="0000000F"/>
    <w:name w:val="WW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10"/>
    <w:multiLevelType w:val="multilevel"/>
    <w:tmpl w:val="00000010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11"/>
    <w:multiLevelType w:val="multilevel"/>
    <w:tmpl w:val="00000011"/>
    <w:name w:val="WW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AED4A05"/>
    <w:multiLevelType w:val="hybridMultilevel"/>
    <w:tmpl w:val="EB4EA45E"/>
    <w:lvl w:ilvl="0" w:tplc="AE6E48C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42AE4"/>
    <w:multiLevelType w:val="hybridMultilevel"/>
    <w:tmpl w:val="92240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CF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A71DDE"/>
    <w:multiLevelType w:val="hybridMultilevel"/>
    <w:tmpl w:val="B9CE9BC0"/>
    <w:lvl w:ilvl="0" w:tplc="BD9EDBC0">
      <w:start w:val="10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Calibri" w:hAnsi="Calibri" w:cs="Calibri" w:hint="default"/>
        <w:color w:val="00000A"/>
        <w:sz w:val="22"/>
        <w:szCs w:val="22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3">
    <w:nsid w:val="1A0A1DD0"/>
    <w:multiLevelType w:val="hybridMultilevel"/>
    <w:tmpl w:val="306646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C075CE"/>
    <w:multiLevelType w:val="hybridMultilevel"/>
    <w:tmpl w:val="46A6AE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91080"/>
    <w:multiLevelType w:val="multilevel"/>
    <w:tmpl w:val="504E2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42E221A"/>
    <w:multiLevelType w:val="hybridMultilevel"/>
    <w:tmpl w:val="0464D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A3DE0"/>
    <w:multiLevelType w:val="hybridMultilevel"/>
    <w:tmpl w:val="F110A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82E7A"/>
    <w:multiLevelType w:val="multilevel"/>
    <w:tmpl w:val="6464B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cs="Calibri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Calibri" w:hAnsi="Calibri" w:cs="Calibri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97369A7"/>
    <w:multiLevelType w:val="hybridMultilevel"/>
    <w:tmpl w:val="A36E39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1C2E54"/>
    <w:multiLevelType w:val="hybridMultilevel"/>
    <w:tmpl w:val="1242A9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10C39"/>
    <w:multiLevelType w:val="hybridMultilevel"/>
    <w:tmpl w:val="2A6259F4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75316"/>
    <w:multiLevelType w:val="hybridMultilevel"/>
    <w:tmpl w:val="3968D53E"/>
    <w:lvl w:ilvl="0" w:tplc="04090017">
      <w:start w:val="1"/>
      <w:numFmt w:val="lowerLetter"/>
      <w:lvlText w:val="%1)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874F0"/>
    <w:multiLevelType w:val="hybridMultilevel"/>
    <w:tmpl w:val="F6D4E4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C6352E"/>
    <w:multiLevelType w:val="hybridMultilevel"/>
    <w:tmpl w:val="D298C602"/>
    <w:lvl w:ilvl="0" w:tplc="057CA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45608A"/>
    <w:multiLevelType w:val="hybridMultilevel"/>
    <w:tmpl w:val="4476F078"/>
    <w:lvl w:ilvl="0" w:tplc="0B46C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3407C5"/>
    <w:multiLevelType w:val="hybridMultilevel"/>
    <w:tmpl w:val="714267E6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911FB2"/>
    <w:multiLevelType w:val="hybridMultilevel"/>
    <w:tmpl w:val="308CB220"/>
    <w:lvl w:ilvl="0" w:tplc="CBA4C75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30AA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AB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5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E7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6A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A9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4B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B0C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27"/>
  </w:num>
  <w:num w:numId="13">
    <w:abstractNumId w:val="12"/>
  </w:num>
  <w:num w:numId="14">
    <w:abstractNumId w:val="18"/>
  </w:num>
  <w:num w:numId="15">
    <w:abstractNumId w:val="16"/>
  </w:num>
  <w:num w:numId="16">
    <w:abstractNumId w:val="20"/>
  </w:num>
  <w:num w:numId="17">
    <w:abstractNumId w:val="21"/>
  </w:num>
  <w:num w:numId="18">
    <w:abstractNumId w:val="28"/>
  </w:num>
  <w:num w:numId="19">
    <w:abstractNumId w:val="29"/>
  </w:num>
  <w:num w:numId="20">
    <w:abstractNumId w:val="22"/>
  </w:num>
  <w:num w:numId="21">
    <w:abstractNumId w:val="17"/>
  </w:num>
  <w:num w:numId="22">
    <w:abstractNumId w:val="25"/>
  </w:num>
  <w:num w:numId="23">
    <w:abstractNumId w:val="13"/>
  </w:num>
  <w:num w:numId="24">
    <w:abstractNumId w:val="26"/>
  </w:num>
  <w:num w:numId="25">
    <w:abstractNumId w:val="15"/>
  </w:num>
  <w:num w:numId="26">
    <w:abstractNumId w:val="10"/>
  </w:num>
  <w:num w:numId="27">
    <w:abstractNumId w:val="30"/>
  </w:num>
  <w:num w:numId="28">
    <w:abstractNumId w:val="14"/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AB2"/>
    <w:rsid w:val="00035149"/>
    <w:rsid w:val="000C4174"/>
    <w:rsid w:val="000F6A18"/>
    <w:rsid w:val="00131F3A"/>
    <w:rsid w:val="00141C0D"/>
    <w:rsid w:val="00143607"/>
    <w:rsid w:val="001A1C3E"/>
    <w:rsid w:val="001C2401"/>
    <w:rsid w:val="002077E3"/>
    <w:rsid w:val="002177CB"/>
    <w:rsid w:val="00287D7B"/>
    <w:rsid w:val="002A3550"/>
    <w:rsid w:val="002B2A43"/>
    <w:rsid w:val="002C0091"/>
    <w:rsid w:val="002C4721"/>
    <w:rsid w:val="003144E1"/>
    <w:rsid w:val="003163D5"/>
    <w:rsid w:val="00350448"/>
    <w:rsid w:val="00364005"/>
    <w:rsid w:val="0036485F"/>
    <w:rsid w:val="00372B8C"/>
    <w:rsid w:val="00392577"/>
    <w:rsid w:val="00392BEC"/>
    <w:rsid w:val="00406350"/>
    <w:rsid w:val="00435AB2"/>
    <w:rsid w:val="00451C8A"/>
    <w:rsid w:val="00476EC9"/>
    <w:rsid w:val="00484F1C"/>
    <w:rsid w:val="004A6EB4"/>
    <w:rsid w:val="004C15BC"/>
    <w:rsid w:val="004C1B92"/>
    <w:rsid w:val="004E71A5"/>
    <w:rsid w:val="004F13E0"/>
    <w:rsid w:val="00506251"/>
    <w:rsid w:val="0055466E"/>
    <w:rsid w:val="00570608"/>
    <w:rsid w:val="00575B3D"/>
    <w:rsid w:val="005A3BF1"/>
    <w:rsid w:val="00611DB4"/>
    <w:rsid w:val="00620AB4"/>
    <w:rsid w:val="00661F21"/>
    <w:rsid w:val="00670DBC"/>
    <w:rsid w:val="00676641"/>
    <w:rsid w:val="006A60EE"/>
    <w:rsid w:val="006A6D8A"/>
    <w:rsid w:val="006E3157"/>
    <w:rsid w:val="00716952"/>
    <w:rsid w:val="0072468B"/>
    <w:rsid w:val="007427E0"/>
    <w:rsid w:val="00773AE0"/>
    <w:rsid w:val="007921CB"/>
    <w:rsid w:val="007B71C3"/>
    <w:rsid w:val="00820810"/>
    <w:rsid w:val="00832EAF"/>
    <w:rsid w:val="008612F6"/>
    <w:rsid w:val="0087299B"/>
    <w:rsid w:val="008766D4"/>
    <w:rsid w:val="00887A1A"/>
    <w:rsid w:val="008A190E"/>
    <w:rsid w:val="008A5FE8"/>
    <w:rsid w:val="008B4895"/>
    <w:rsid w:val="008F09E0"/>
    <w:rsid w:val="00905346"/>
    <w:rsid w:val="00916CF8"/>
    <w:rsid w:val="009E0047"/>
    <w:rsid w:val="009E0A8C"/>
    <w:rsid w:val="009E5A83"/>
    <w:rsid w:val="00A006C9"/>
    <w:rsid w:val="00A20F41"/>
    <w:rsid w:val="00A73264"/>
    <w:rsid w:val="00B11064"/>
    <w:rsid w:val="00B16881"/>
    <w:rsid w:val="00B46104"/>
    <w:rsid w:val="00B6402D"/>
    <w:rsid w:val="00B80A51"/>
    <w:rsid w:val="00BA1C52"/>
    <w:rsid w:val="00C01C89"/>
    <w:rsid w:val="00C2076D"/>
    <w:rsid w:val="00C23536"/>
    <w:rsid w:val="00C732F4"/>
    <w:rsid w:val="00CB18B9"/>
    <w:rsid w:val="00CB50C1"/>
    <w:rsid w:val="00CF4236"/>
    <w:rsid w:val="00D03820"/>
    <w:rsid w:val="00D30D2A"/>
    <w:rsid w:val="00D3733C"/>
    <w:rsid w:val="00D469C6"/>
    <w:rsid w:val="00D74AB3"/>
    <w:rsid w:val="00D94410"/>
    <w:rsid w:val="00D968B1"/>
    <w:rsid w:val="00DA3103"/>
    <w:rsid w:val="00DE439D"/>
    <w:rsid w:val="00E11361"/>
    <w:rsid w:val="00E33316"/>
    <w:rsid w:val="00E95E05"/>
    <w:rsid w:val="00EA15C4"/>
    <w:rsid w:val="00EC2676"/>
    <w:rsid w:val="00EC77FC"/>
    <w:rsid w:val="00F47318"/>
    <w:rsid w:val="00F607E0"/>
    <w:rsid w:val="00F62DBD"/>
    <w:rsid w:val="00F86FA4"/>
    <w:rsid w:val="00FB4E0B"/>
    <w:rsid w:val="00FC59F2"/>
    <w:rsid w:val="00FD4F3E"/>
    <w:rsid w:val="00FF1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AB2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35AB2"/>
    <w:pPr>
      <w:keepNext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35AB2"/>
    <w:pPr>
      <w:keepNext/>
      <w:suppressAutoHyphens/>
      <w:spacing w:before="240" w:after="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35A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435AB2"/>
    <w:pPr>
      <w:keepNext/>
      <w:spacing w:after="0" w:line="240" w:lineRule="auto"/>
      <w:ind w:left="2880" w:firstLine="720"/>
      <w:outlineLvl w:val="3"/>
    </w:pPr>
    <w:rPr>
      <w:rFonts w:ascii="Times New Roman" w:eastAsia="Times New Roman" w:hAnsi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435AB2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4"/>
      <w:lang w:val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35AB2"/>
    <w:pPr>
      <w:suppressAutoHyphens/>
      <w:spacing w:before="240" w:after="60"/>
      <w:ind w:left="1152" w:hanging="1152"/>
      <w:outlineLvl w:val="5"/>
    </w:pPr>
    <w:rPr>
      <w:rFonts w:eastAsia="Times New Roman"/>
      <w:b/>
      <w:bCs/>
      <w:kern w:val="1"/>
    </w:rPr>
  </w:style>
  <w:style w:type="paragraph" w:styleId="Heading7">
    <w:name w:val="heading 7"/>
    <w:basedOn w:val="Normal"/>
    <w:next w:val="Normal"/>
    <w:link w:val="Heading7Char"/>
    <w:qFormat/>
    <w:rsid w:val="00435AB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435AB2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9">
    <w:name w:val="heading 9"/>
    <w:basedOn w:val="Normal"/>
    <w:next w:val="Normal"/>
    <w:link w:val="Heading9Char"/>
    <w:qFormat/>
    <w:rsid w:val="00435AB2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5AB2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35AB2"/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35AB2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35AB2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435AB2"/>
    <w:rPr>
      <w:rFonts w:ascii="Times New Roman" w:eastAsia="Times New Roman" w:hAnsi="Times New Roman" w:cs="Times New Roman"/>
      <w:sz w:val="28"/>
      <w:szCs w:val="24"/>
      <w:lang w:val="hr-HR"/>
    </w:rPr>
  </w:style>
  <w:style w:type="character" w:customStyle="1" w:styleId="Heading6Char">
    <w:name w:val="Heading 6 Char"/>
    <w:basedOn w:val="DefaultParagraphFont"/>
    <w:link w:val="Heading6"/>
    <w:semiHidden/>
    <w:rsid w:val="00435AB2"/>
    <w:rPr>
      <w:rFonts w:ascii="Calibri" w:eastAsia="Times New Roman" w:hAnsi="Calibri" w:cs="Times New Roman"/>
      <w:b/>
      <w:bCs/>
      <w:kern w:val="1"/>
    </w:rPr>
  </w:style>
  <w:style w:type="character" w:customStyle="1" w:styleId="Heading7Char">
    <w:name w:val="Heading 7 Char"/>
    <w:basedOn w:val="DefaultParagraphFont"/>
    <w:link w:val="Heading7"/>
    <w:rsid w:val="00435AB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435AB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435AB2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nhideWhenUsed/>
    <w:rsid w:val="0043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5A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AB2"/>
    <w:pPr>
      <w:ind w:left="720"/>
      <w:contextualSpacing/>
    </w:pPr>
  </w:style>
  <w:style w:type="paragraph" w:styleId="BodyText3">
    <w:name w:val="Body Text 3"/>
    <w:basedOn w:val="Normal"/>
    <w:link w:val="BodyText3Char"/>
    <w:rsid w:val="00435AB2"/>
    <w:pPr>
      <w:spacing w:after="120" w:line="240" w:lineRule="auto"/>
    </w:pPr>
    <w:rPr>
      <w:rFonts w:ascii="Times New Roman" w:eastAsia="Times New Roman" w:hAnsi="Times New Roman"/>
      <w:sz w:val="16"/>
      <w:szCs w:val="16"/>
      <w:lang w:val="sr-Cyrl-CS" w:eastAsia="sr-Cyrl-CS"/>
    </w:rPr>
  </w:style>
  <w:style w:type="character" w:customStyle="1" w:styleId="BodyText3Char">
    <w:name w:val="Body Text 3 Char"/>
    <w:basedOn w:val="DefaultParagraphFont"/>
    <w:link w:val="BodyText3"/>
    <w:rsid w:val="00435AB2"/>
    <w:rPr>
      <w:rFonts w:ascii="Times New Roman" w:eastAsia="Times New Roman" w:hAnsi="Times New Roman" w:cs="Times New Roman"/>
      <w:sz w:val="16"/>
      <w:szCs w:val="16"/>
      <w:lang w:val="sr-Cyrl-CS" w:eastAsia="sr-Cyrl-CS"/>
    </w:rPr>
  </w:style>
  <w:style w:type="paragraph" w:styleId="BodyText">
    <w:name w:val="Body Text"/>
    <w:basedOn w:val="Normal"/>
    <w:link w:val="BodyTextChar"/>
    <w:unhideWhenUsed/>
    <w:rsid w:val="00435AB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35AB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3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AB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3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AB2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435AB2"/>
    <w:pPr>
      <w:suppressAutoHyphens/>
    </w:pPr>
    <w:rPr>
      <w:rFonts w:eastAsia="Arial Unicode MS" w:cs="Calibri"/>
      <w:kern w:val="1"/>
    </w:rPr>
  </w:style>
  <w:style w:type="paragraph" w:styleId="TOC2">
    <w:name w:val="toc 2"/>
    <w:basedOn w:val="Normal"/>
    <w:next w:val="Normal"/>
    <w:autoRedefine/>
    <w:uiPriority w:val="39"/>
    <w:rsid w:val="00435AB2"/>
    <w:pPr>
      <w:tabs>
        <w:tab w:val="left" w:pos="880"/>
        <w:tab w:val="right" w:leader="dot" w:pos="9911"/>
      </w:tabs>
      <w:suppressAutoHyphens/>
    </w:pPr>
    <w:rPr>
      <w:rFonts w:eastAsia="Arial Unicode MS" w:cs="Calibri"/>
      <w:kern w:val="1"/>
    </w:rPr>
  </w:style>
  <w:style w:type="paragraph" w:styleId="TOC3">
    <w:name w:val="toc 3"/>
    <w:basedOn w:val="Normal"/>
    <w:next w:val="Normal"/>
    <w:autoRedefine/>
    <w:uiPriority w:val="39"/>
    <w:rsid w:val="00435AB2"/>
    <w:pPr>
      <w:suppressAutoHyphens/>
      <w:ind w:left="440"/>
    </w:pPr>
    <w:rPr>
      <w:rFonts w:eastAsia="Arial Unicode MS" w:cs="Calibri"/>
      <w:kern w:val="1"/>
    </w:rPr>
  </w:style>
  <w:style w:type="character" w:styleId="Hyperlink">
    <w:name w:val="Hyperlink"/>
    <w:basedOn w:val="DefaultParagraphFont"/>
    <w:uiPriority w:val="99"/>
    <w:unhideWhenUsed/>
    <w:rsid w:val="00435AB2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35AB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435AB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5A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435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435AB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35AB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A3D5-168C-4535-83CA-810EE7A2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28</Pages>
  <Words>9213</Words>
  <Characters>52517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37</cp:revision>
  <cp:lastPrinted>2018-06-14T07:15:00Z</cp:lastPrinted>
  <dcterms:created xsi:type="dcterms:W3CDTF">2016-10-02T19:28:00Z</dcterms:created>
  <dcterms:modified xsi:type="dcterms:W3CDTF">2018-06-14T07:16:00Z</dcterms:modified>
</cp:coreProperties>
</file>